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GERGELY HALASZ</w:t>
            </w:r>
          </w:p>
          <w:p w:rsidR="00C275A3" w:rsidRDefault="00A96AEC" w:rsidP="00C275A3">
            <w:pPr>
              <w:pStyle w:val="Hallgatokepzes"/>
            </w:pPr>
            <w:r>
              <w:t>Physics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Mate Szieberth</w:t>
            </w:r>
          </w:p>
          <w:p w:rsidR="00DB4822" w:rsidRDefault="00DB4822" w:rsidP="00E11062">
            <w:pPr>
              <w:pStyle w:val="Konzulensek"/>
            </w:pPr>
            <w:r w:rsidRPr="00DB4822">
              <w:t>assistant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Fuel cycle studies on minor actinide burning in Gas Cooled Fast Reactors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gas cooled fast reactor (GFR) is a Generation IV reactor type considered as an alternative fast neutron reactor design aimed to improve the sustainability of nuclear energy by improving the uranium utilization efficiency. Besides fuel breeding the especially fast neutron spectrum of the GFR also provides excellent opportunities for minor actinide (MA) burning. Development of the design of a 2400 MW</w:t>
      </w:r>
      <w:r>
        <w:rPr>
          <w:color w:val="000000"/>
          <w:position w:val="-4"/>
          <w:sz w:val="21"/>
          <w:szCs w:val="21"/>
          <w:vertAlign w:val="subscript"/>
        </w:rPr>
        <w:t xml:space="preserve">th</w:t>
      </w:r>
      <w:r>
        <w:rPr>
          <w:color w:val="000000"/>
          <w:sz w:val="24"/>
          <w:szCs w:val="24"/>
        </w:rPr>
        <w:t xml:space="preserve"> full-scale and a 70 MW</w:t>
      </w:r>
      <w:r>
        <w:rPr>
          <w:color w:val="000000"/>
          <w:position w:val="-4"/>
          <w:sz w:val="21"/>
          <w:szCs w:val="21"/>
          <w:vertAlign w:val="subscript"/>
        </w:rPr>
        <w:t xml:space="preserve">th</w:t>
      </w:r>
      <w:r>
        <w:rPr>
          <w:color w:val="000000"/>
          <w:sz w:val="24"/>
          <w:szCs w:val="24"/>
        </w:rPr>
        <w:t xml:space="preserve"> demonstrator GFR (ALLEGRO) is going on in the Euratom sponsored GoFastR project.</w:t>
      </w:r>
      <w:r>
        <w:rPr>
          <w:color w:val="000000"/>
          <w:sz w:val="24"/>
          <w:szCs w:val="24"/>
        </w:rPr>
        <w:br/>
        <w:t xml:space="preserve">The investigation of fuel breeding and transmutational capabilities requires detailed computational models, which take account of the important facilities of the fuel cycle, their operation, and the material flow between them. The main challenge of these studies is that the isotopic composition of the spent fuel can only be determined with complex, time consuming burnup calculations. The paper presents improvement of an approximational burnup model created within the framework of a BA thesis ("Development of the mathematical model of a nuclear fuel cycle containing Gas-cooled Fast Reactors") and fuel cycle studies with a more realistic fuel cycle model.</w:t>
      </w:r>
      <w:r>
        <w:rPr>
          <w:color w:val="000000"/>
          <w:sz w:val="24"/>
          <w:szCs w:val="24"/>
        </w:rPr>
        <w:br/>
        <w:t xml:space="preserve">The improvement of the model is based on the results of numerous full core calculations of the GFR2400 reactor, which were performed with the SCALE code system. Similar multidimensional regression method to the one in my BA thesis was used to determine the homogenized one-group cross-sections, the k-effective and the ratio of region fluxes as functions of the core composition.</w:t>
      </w:r>
      <w:r>
        <w:rPr>
          <w:color w:val="000000"/>
          <w:sz w:val="24"/>
          <w:szCs w:val="24"/>
        </w:rPr>
        <w:br/>
        <w:t xml:space="preserve">The improved burnup model was applied for the analysis of more realistic fuel cycle scenarios including a mixed fleet of GFRs and conventional LWRs, as well as interim storages and reprocessing facilities. Homogeneous recycling of minor actinides into the GFRs was considered and their MA consumption was investigated. Initial fuel charges of the reactors were set by taking account of the reactivity loss during burnup.</w:t>
      </w:r>
      <w:r>
        <w:rPr>
          <w:color w:val="000000"/>
          <w:sz w:val="24"/>
          <w:szCs w:val="24"/>
        </w:rPr>
        <w:br/>
        <w:t xml:space="preserve">Results show that fuel utilization efficiency in the symbiotic reactor park is higher than in the LWR once-through-cycle, and also that with only a few percent of external Pu feed needed, GFR is close to self-breeding. Also with high minor actinide content, the GFR can be applied as a net MA burner, capable of burning the minor actinides produced in other reactors.</w:t>
      </w:r>
      <w:r>
        <w:rPr>
          <w:color w:val="000000"/>
          <w:sz w:val="24"/>
          <w:szCs w:val="24"/>
        </w:rPr>
        <w:br/>
        <w:t xml:space="preserve">The present work focuses on the analysis of GFRs, but the developed methodology for burnup modelling can be applied for other reactor types,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50514">
    <w:multiLevelType w:val="hybridMultilevel"/>
    <w:lvl w:ilvl="0" w:tplc="13806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50514">
    <w:abstractNumId w:val="153505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273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