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TIBORCZ</w:t>
            </w:r>
          </w:p>
          <w:p w:rsidR="00C275A3" w:rsidRDefault="00A96AEC" w:rsidP="00C275A3">
            <w:pPr>
              <w:pStyle w:val="Hallgatokepzes"/>
            </w:pPr>
            <w:r>
              <w:t>BSc in Energy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Tóth</w:t>
            </w:r>
          </w:p>
          <w:p w:rsidR="00DB4822" w:rsidRDefault="00DB4822" w:rsidP="00E11062">
            <w:pPr>
              <w:pStyle w:val="Konzulensek"/>
            </w:pPr>
            <w:r w:rsidRPr="00DB4822">
              <w:t>assistant professor, BME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Flow distribution study in a square rod bundle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nuclear energetic continuous developments aim for higher efficiency and safer operation. Among the underlying studies, determination of the distribution of temperature and other thermohydraulic characteristics of the coolant flowing in fuel assemblies has been always of great importance. Lately the usage of the CFD (Computational Fluid Dynamics) codes in this field has became more and more widely spread. One of the adaption is to determine the effect of different types of spacer grids on the flow distribution.</w:t>
      </w:r>
    </w:p>
    <w:p>
      <w:pPr>
        <w:pBdr/>
        <w:spacing w:before="240" w:after="240" w:line="240" w:lineRule="auto"/>
        <w:ind w:left="0" w:right="0"/>
        <w:jc w:val="left"/>
      </w:pPr>
      <w:r>
        <w:rPr>
          <w:color w:val="000000"/>
          <w:sz w:val="24"/>
          <w:szCs w:val="24"/>
        </w:rPr>
        <w:t xml:space="preserve">In an international benchmark organized by the OECD NEA (Organization for Economic Co-operation and Development, Nuclear Energy Agency) the participants have examined the effect on the flow distribution of two different spacer grids with CFD codes. Their results have been compared to the measured data obtained on the MATIS-H (Measurement and Analysis of Turbulent Mixing in Subchannels-Horizontal) test facility.</w:t>
      </w:r>
    </w:p>
    <w:p>
      <w:pPr>
        <w:pBdr/>
        <w:spacing w:before="240" w:after="240" w:line="240" w:lineRule="auto"/>
        <w:ind w:left="0" w:right="0"/>
        <w:jc w:val="left"/>
      </w:pPr>
      <w:r>
        <w:rPr>
          <w:color w:val="000000"/>
          <w:sz w:val="24"/>
          <w:szCs w:val="24"/>
        </w:rPr>
        <w:t xml:space="preserve">In order to obtain accurate CFD results application of proper inlet boundary conditions is necessary. In this work a model for the bare rod bundle of MATIS-H test section is built with ANSYS CFX code and calculations are carried out to get the inlet boundary conditions needed for the spacer grid calculations. The geometry consists of a 5x5 square rod array, characterized by a pitch to diameter ratio of 1.3.</w:t>
      </w:r>
    </w:p>
    <w:p>
      <w:pPr>
        <w:pBdr/>
        <w:spacing w:before="240" w:after="240" w:line="240" w:lineRule="auto"/>
        <w:ind w:left="0" w:right="0"/>
        <w:jc w:val="left"/>
      </w:pPr>
      <w:r>
        <w:rPr>
          <w:color w:val="000000"/>
          <w:sz w:val="24"/>
          <w:szCs w:val="24"/>
        </w:rPr>
        <w:t xml:space="preserve">Before building the model of the whole cross section a mesh independence study on a subchannel is carried out aiming to choose the adequate mesh resolution. Based on this study the model of the cross section has been built using the optimal mesh density. Simulations are run with different turbulence models (SST, BSL and SSG Reynolds Stress Model) to investigate the sensitivity of the results and to choose an appropriate model describing the phenomena. The validation of the results has been performed based on the LDA (Laser Doppler Anemometry) measurements on the MATIS-H test facility.</w:t>
      </w:r>
    </w:p>
    <w:p>
      <w:pPr>
        <w:pBdr/>
        <w:spacing w:before="240" w:after="240" w:line="240" w:lineRule="auto"/>
        <w:ind w:left="0" w:right="0"/>
        <w:jc w:val="left"/>
      </w:pPr>
      <w:r>
        <w:rPr>
          <w:color w:val="000000"/>
          <w:sz w:val="24"/>
          <w:szCs w:val="24"/>
        </w:rPr>
        <w:t xml:space="preserve">References:</w:t>
      </w:r>
    </w:p>
    <w:p>
      <w:pPr>
        <w:pBdr/>
        <w:spacing w:before="240" w:after="240" w:line="240" w:lineRule="auto"/>
        <w:ind w:left="0" w:right="0"/>
        <w:jc w:val="left"/>
      </w:pPr>
      <w:r>
        <w:rPr>
          <w:color w:val="000000"/>
          <w:sz w:val="24"/>
          <w:szCs w:val="24"/>
        </w:rPr>
        <w:t xml:space="preserve">[1] OECD/NEA─MATiS-H benchmark: Final benchmark specifications, 2011.</w:t>
      </w:r>
    </w:p>
    <w:p>
      <w:pPr>
        <w:pBdr/>
        <w:spacing w:before="240" w:after="240" w:line="240" w:lineRule="auto"/>
        <w:ind w:left="0" w:right="0"/>
        <w:jc w:val="left"/>
      </w:pPr>
      <w:r>
        <w:rPr>
          <w:color w:val="000000"/>
          <w:sz w:val="24"/>
          <w:szCs w:val="24"/>
        </w:rPr>
        <w:t xml:space="preserve">[2] H.K. Versteeg, W. Malalasekera: An Introduction to Computational Fluid Dynamics, The Finite Volume Method, Prentice Hall, 2007.</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52212">
    <w:multiLevelType w:val="hybridMultilevel"/>
    <w:lvl w:ilvl="0" w:tplc="177950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52212">
    <w:abstractNumId w:val="15752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9124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