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ILDIKÓ PAPP</w:t>
            </w:r>
          </w:p>
          <w:p w:rsidR="00C275A3" w:rsidRDefault="00A96AEC" w:rsidP="00C275A3">
            <w:pPr>
              <w:pStyle w:val="Hallgatokepzes"/>
            </w:pPr>
            <w:r>
              <w:t>MSc in Physics</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Szabolcs Czifrus</w:t>
            </w:r>
          </w:p>
          <w:p w:rsidR="00DB4822" w:rsidRDefault="00DB4822" w:rsidP="00E11062">
            <w:pPr>
              <w:pStyle w:val="Konzulensek"/>
            </w:pPr>
            <w:r w:rsidRPr="00DB4822">
              <w:t>associate professor, head of department,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scattered photon dose distribution in tumor therapy by Monte Carlo simulations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During the last decades radiation therapy modalities have become determinative in tumor therapy. The aim of radiation therapy is to demolish the tumor cells in the most selective way while to have the smallest dose in healthy tissues.</w:t>
      </w:r>
      <w:r>
        <w:rPr>
          <w:color w:val="000000"/>
          <w:sz w:val="24"/>
          <w:szCs w:val="24"/>
        </w:rPr>
        <w:br/>
        <w:t xml:space="preserve">In treatment planning one can define normal tissues and organs at risk. During the treatment planning the physicist takes serious standards into consideration about the organs at risk while some of the normal tissues are inevitably in the direct beam. Naturally dose standards exists for this case too, however normal tissues that do not lie in the direct beam can have relatively big dose by the scattered dose fields.</w:t>
      </w:r>
      <w:r>
        <w:rPr>
          <w:color w:val="000000"/>
          <w:sz w:val="24"/>
          <w:szCs w:val="24"/>
        </w:rPr>
        <w:br/>
        <w:t xml:space="preserve">So it is extremely important to define the dose distribution for teletherapy because however the beam can be aimed to the planning target volume more precisely nowadays, the healthy tissue always gets ionisation radiation and that can lead to chronic sometimes irreversible damage.</w:t>
      </w:r>
      <w:r>
        <w:rPr>
          <w:color w:val="000000"/>
          <w:sz w:val="24"/>
          <w:szCs w:val="24"/>
        </w:rPr>
        <w:br/>
        <w:t xml:space="preserve">In this essay I examine the dose distribution acquired by use of a linear accelerator and the scattered fields by Monte Carlo methods. The advantage of these methods is that the (scattered) dose distribution can be modeled more precisely than by the treatment planning system used in hospitals.</w:t>
      </w:r>
      <w:r>
        <w:rPr>
          <w:color w:val="000000"/>
          <w:sz w:val="24"/>
          <w:szCs w:val="24"/>
        </w:rPr>
        <w:br/>
        <w:t xml:space="preserve">I will also model the spectrum outside the linear accelerator and then examine the scattered photon fields at different parameters (for example field size, photon energy, etc.) on a water phantom. For the simulations I use the MCNP  code.</w:t>
      </w:r>
      <w:r>
        <w:rPr>
          <w:color w:val="000000"/>
          <w:sz w:val="24"/>
          <w:szCs w:val="24"/>
        </w:rPr>
        <w:br/>
        <w:t xml:space="preserve">Beside these parameters I will examine the scattered dose field in cases when the beam reaches organs with material composition different than the general soft tissue phantom.</w:t>
      </w:r>
    </w:p>
    <w:p>
      <w:pPr>
        <w:pBdr/>
        <w:spacing w:before="240" w:after="240" w:line="240" w:lineRule="auto"/>
        <w:ind w:left="0" w:right="0"/>
        <w:jc w:val="left"/>
      </w:pPr>
      <w:r>
        <w:rPr>
          <w:color w:val="000000"/>
          <w:sz w:val="24"/>
          <w:szCs w:val="24"/>
        </w:rPr>
        <w:t xml:space="preserve">Literature:</w:t>
      </w:r>
      <w:r>
        <w:rPr>
          <w:color w:val="000000"/>
          <w:sz w:val="24"/>
          <w:szCs w:val="24"/>
        </w:rPr>
        <w:br/>
        <w:t xml:space="preserve">1. Monte Carlo dose calculations for a 6-MV photon beam in a thorax phantom, Alireza Farajollahi, Asghar Mesbahi, Radiation Medicine, 2006, 24:269–276, DOI 10.1007/s11604-005-1493-5</w:t>
      </w:r>
      <w:r>
        <w:rPr>
          <w:color w:val="000000"/>
          <w:sz w:val="24"/>
          <w:szCs w:val="24"/>
        </w:rPr>
        <w:br/>
        <w:t xml:space="preserve">2. Radiation Oncology Physics: A handbook for teachers and students E.B. Podgorsak, International Atomic Energy Agency, Bécs, 2005</w:t>
      </w:r>
      <w:r>
        <w:rPr>
          <w:color w:val="000000"/>
          <w:sz w:val="24"/>
          <w:szCs w:val="24"/>
        </w:rPr>
        <w:br/>
        <w:t xml:space="preserve">3. Advantages of multiple algorithm support in treatment planning system for external beam dose calculations, Kirloskar Theratronics Pvt. Limited, Mumbai, India, Journal of Cancer Research and Therapeutics, 2005, DOI: 10.4103/0973-1482.16085</w:t>
      </w:r>
      <w:r>
        <w:rPr>
          <w:color w:val="000000"/>
          <w:sz w:val="24"/>
          <w:szCs w:val="24"/>
        </w:rPr>
        <w:br/>
        <w:t xml:space="preserve">4. Monte Carlo treatment planning for photon and electron beams, N. Reynaert, S.C. van der Marck, D.R. Schaart, W. Van der Zee, C. Van Vliet-Vroegindeweij, M. Tomsej, J. Jansen, B. Heijmen, M. Coghe, C. De Wagter, 30 May 2006, Radiation Physics and Chemistry 76 (2007) 643–686</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474073">
    <w:multiLevelType w:val="hybridMultilevel"/>
    <w:lvl w:ilvl="0" w:tplc="616332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474073">
    <w:abstractNumId w:val="274740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61297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