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GAL</w:t>
            </w:r>
          </w:p>
          <w:p w:rsidR="00C275A3" w:rsidRDefault="00A96AEC" w:rsidP="00C275A3">
            <w:pPr>
              <w:pStyle w:val="Hallgatokepzes"/>
            </w:pPr>
            <w:r>
              <w:t>biology</w:t>
            </w:r>
            <w:r>
              <w:br/>
            </w:r>
            <w:r w:rsidR="00E77B23">
              <w:t>BSc,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Naár</w:t>
            </w:r>
          </w:p>
          <w:p w:rsidR="00DB4822" w:rsidRDefault="00DB4822" w:rsidP="00E11062">
            <w:pPr>
              <w:pStyle w:val="Konzulensek"/>
            </w:pPr>
            <w:r w:rsidRPr="00DB4822">
              <w:t>college professor, EKF TTK Eszterházy Károly College</w:t>
            </w:r>
          </w:p>
        </w:tc>
      </w:tr>
      <w:tr w:rsidR="00DB4822" w:rsidTr="00DB4822">
        <w:tc>
          <w:tcPr>
            <w:tcW w:w="9854" w:type="dxa"/>
          </w:tcPr>
          <w:p w:rsidR="00DB4822" w:rsidRPr="00DB4822" w:rsidRDefault="00DB4822" w:rsidP="004D7940">
            <w:pPr>
              <w:pStyle w:val="Konzulensek"/>
            </w:pPr>
            <w:r w:rsidRPr="00DB4822">
              <w:t>Kata Kalóczkai</w:t>
            </w:r>
          </w:p>
          <w:p w:rsidR="00DB4822" w:rsidRDefault="00DB4822" w:rsidP="00E11062">
            <w:pPr>
              <w:pStyle w:val="Konzulensek"/>
            </w:pPr>
            <w:r w:rsidRPr="00DB4822">
              <w:t>research assistant, EKF TTK Eszterházy Károly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theprebiotic effect of fructan and resistant starch samples in an in vitro human intestinal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an ideal gut ecosystem, the potentially beneficial bacterial strains are predominant in number and activity over the potentially harmful microorganisms. Due to environmental factors, stress or inefficient diet, this critical balance of microorganisms upset, thus creating a disease prone situation. The actions and number of probiotic bacteria is improvable through its selective modification, which provide health benefit to the host. The dietary intervention of prebiotic carbohydrates supplement the beneficial microbiome, thus diet has a key role in modulation of gut flora.</w:t>
      </w:r>
    </w:p>
    <w:p>
      <w:pPr>
        <w:widowControl w:val="on"/>
        <w:pBdr/>
        <w:spacing w:before="240" w:after="240" w:line="240" w:lineRule="auto"/>
        <w:ind w:left="0" w:right="0"/>
        <w:jc w:val="left"/>
      </w:pPr>
      <w:r>
        <w:rPr>
          <w:color w:val="000000"/>
          <w:sz w:val="24"/>
          <w:szCs w:val="24"/>
        </w:rPr>
        <w:t xml:space="preserve">Based on previous literature data, the combinations of short chain fructans and resistant starches show additive prebiotic effect. Our aim was to investigate the replaceability of the expensive fructans with the considerably cheaper resistant starches through development of functional foodstuffs.</w:t>
      </w:r>
    </w:p>
    <w:p>
      <w:pPr>
        <w:widowControl w:val="on"/>
        <w:pBdr/>
        <w:spacing w:before="240" w:after="240" w:line="240" w:lineRule="auto"/>
        <w:ind w:left="0" w:right="0"/>
        <w:jc w:val="left"/>
      </w:pPr>
      <w:r>
        <w:rPr>
          <w:color w:val="000000"/>
          <w:sz w:val="24"/>
          <w:szCs w:val="24"/>
        </w:rPr>
        <w:t xml:space="preserve">In this study three fructans, two resistant starches and their combinations were tested to the in vitro microbiota modulation properties and prebiotic potential in pure culture of four probiotic bacteria, and in mixed culture of two probiotic and two potentially pathogenic bacterial strains. Samples were taken four times with microbiological aims (0, 8, 24 and 48 hours) through the 48 hours of anaerob fermentation. Colony forming units of different bacterial strains were determined on selective agar plates. To try to quantify the prebiotic effect of fructans, resistant starches and their combinations tested in this study, the growth rates and Prebiotic indexes were calculated.</w:t>
      </w:r>
    </w:p>
    <w:p>
      <w:pPr>
        <w:widowControl w:val="on"/>
        <w:pBdr/>
        <w:spacing w:before="240" w:after="240" w:line="240" w:lineRule="auto"/>
        <w:ind w:left="0" w:right="0"/>
        <w:jc w:val="left"/>
      </w:pPr>
      <w:r>
        <w:rPr>
          <w:color w:val="000000"/>
          <w:sz w:val="24"/>
          <w:szCs w:val="24"/>
        </w:rPr>
        <w:t xml:space="preserve">The combination of fructans and resistant starches in 3:7 ratio were stimulate selectively the activity of probiotic bacterial strains and suppress the number of potentially pathogenic species. The most effective combinations were the mixes of Frutafit CLR + Hi-maize 260, Frutafit CLR + Novelose-330. Consequenty, the prebiotic properties of the combination of fructans and resistant starches may result an additive effect and thus, in more evident prebiotic effect that may confer a greater health benefit to the host. Through development of functional foodstuffs the expensive fructans are replaceable with the application of Hi-Maize and Novelose resistant starches.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75115">
    <w:multiLevelType w:val="hybridMultilevel"/>
    <w:lvl w:ilvl="0" w:tplc="40856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75115">
    <w:abstractNumId w:val="12675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639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