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PAPP</w:t>
            </w:r>
          </w:p>
          <w:p w:rsidR="00C275A3" w:rsidRDefault="00A96AEC" w:rsidP="00C275A3">
            <w:pPr>
              <w:pStyle w:val="Hallgatokepzes"/>
            </w:pPr>
            <w:r>
              <w:t>Chemistry</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Skoda-Földes</w:t>
            </w:r>
          </w:p>
          <w:p w:rsidR="00DB4822" w:rsidRDefault="00DB4822" w:rsidP="00E11062">
            <w:pPr>
              <w:pStyle w:val="Konzulensek"/>
            </w:pPr>
            <w:r w:rsidRPr="00DB4822">
              <w:t>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Investigation of supported palladium catalysts in aminocarbonylation reactions</w:t>
      </w:r>
    </w:p>
    <w:p w:rsidR="00D71DF5" w:rsidRDefault="00D71DF5" w:rsidP="00AD2602">
      <w:pPr>
        <w:jc w:val="both"/>
      </w:pPr>
    </w:p>
    <w:p>
      <w:pPr>
        <w:pBdr/>
        <w:spacing w:before="240" w:after="240" w:line="240" w:lineRule="auto"/>
        <w:ind w:left="0" w:right="0"/>
        <w:jc w:val="left"/>
      </w:pPr>
      <w:r>
        <w:rPr>
          <w:color w:val="000000"/>
          <w:sz w:val="24"/>
          <w:szCs w:val="24"/>
        </w:rPr>
        <w:t xml:space="preserve">In the past few years, numerous articles have been published on the use of supported ionic liquid catalysts, but aminocarbonylation reactions have not been investigated under these circumstances. Aminocarbonylation reactions were successfully carried out in ionic liquids as solvents at the Department of Organic Chemistry. However, easier product separation and more effective recirculation of the catalyst may be achieved if the catalysts are fixed on a supported ionic liquid phase. The aim of my work was to develop such catalysts and to test them in aminocarbonylation reactions.</w:t>
      </w:r>
    </w:p>
    <w:p>
      <w:pPr>
        <w:pBdr/>
        <w:spacing w:before="240" w:after="240" w:line="240" w:lineRule="auto"/>
        <w:ind w:left="0" w:right="0"/>
        <w:jc w:val="left"/>
      </w:pPr>
      <w:r>
        <w:rPr>
          <w:color w:val="000000"/>
          <w:sz w:val="24"/>
          <w:szCs w:val="24"/>
        </w:rPr>
        <w:t xml:space="preserve">The immobilization of the ionic liquid can be performed either by physical adsorption or by grafting. In the present work, both methods were utilized during catalyst preparation. Both palladium(0) and palladium(II) compounds were used as catalyst precursors. Catalysts were prepared both without the addition of further ligands and using phosphine ligands.</w:t>
      </w:r>
    </w:p>
    <w:p>
      <w:pPr>
        <w:pBdr/>
        <w:spacing w:before="240" w:after="240" w:line="240" w:lineRule="auto"/>
        <w:ind w:left="0" w:right="0"/>
        <w:jc w:val="left"/>
      </w:pPr>
      <w:r>
        <w:rPr>
          <w:color w:val="000000"/>
          <w:sz w:val="24"/>
          <w:szCs w:val="24"/>
        </w:rPr>
        <w:t xml:space="preserve">The catalysts were tested in the carbonylation reaction of iodobenzene with morpholine under CO pressure in the presence of a base. The best results were obtained without the addition of any solvent, in these reactions the catalyst could be recycled 9-10 times. It was found, that the selectivity for the mono- or double-carbonylated products depended greatly on the reaction conditions. The palladium and ionic liquid leaching were also monitored.</w:t>
      </w:r>
    </w:p>
    <w:p>
      <w:pPr>
        <w:pBdr/>
        <w:spacing w:before="240" w:after="240" w:line="240" w:lineRule="auto"/>
        <w:ind w:left="0" w:right="0"/>
        <w:jc w:val="left"/>
      </w:pPr>
      <w:r>
        <w:rPr>
          <w:color w:val="000000"/>
          <w:sz w:val="24"/>
          <w:szCs w:val="24"/>
        </w:rPr>
        <w:t xml:space="preserve">The yields and the structure of products were determined by GC and GC-MS.</w:t>
      </w:r>
    </w:p>
    <w:p>
      <w:pPr>
        <w:pBdr/>
        <w:spacing w:before="240" w:after="240" w:line="240" w:lineRule="auto"/>
        <w:ind w:left="0" w:right="0"/>
        <w:jc w:val="left"/>
      </w:pPr>
      <w:r>
        <w:rPr>
          <w:color w:val="000000"/>
          <w:sz w:val="24"/>
          <w:szCs w:val="24"/>
        </w:rPr>
        <w:t xml:space="preserve">Keywords: heterogenization; iodobenzene; ionic liquid; amide; ketoamide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28856">
    <w:multiLevelType w:val="hybridMultilevel"/>
    <w:lvl w:ilvl="0" w:tplc="666221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28856">
    <w:abstractNumId w:val="151288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96662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