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PAPP</w:t>
            </w:r>
          </w:p>
          <w:p w:rsidR="00C275A3" w:rsidRDefault="00A96AEC" w:rsidP="00C275A3">
            <w:pPr>
              <w:pStyle w:val="Hallgatokepzes"/>
            </w:pPr>
            <w:r>
              <w:t>Chemistry</w:t>
            </w:r>
            <w:r>
              <w:br/>
            </w:r>
            <w:r w:rsidR="00E77B23">
              <w:t>BSc, 7.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Rita Skoda-Földes</w:t>
            </w:r>
          </w:p>
          <w:p w:rsidR="00DB4822" w:rsidRDefault="00DB4822" w:rsidP="00E11062">
            <w:pPr>
              <w:pStyle w:val="Konzulensek"/>
            </w:pPr>
            <w:r w:rsidRPr="00DB4822">
              <w:t>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supported palladium catalysts in aminocarbonylation reactions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past few years, numerous articles have been published on the use of supported ionic liquid catalysts, but aminocarbonylation reactions have not been investigated under these circumstances. Aminocarbonylation reactions were successfully carried out in ionic liquids as solvents at the Department of Organic Chemistry. However, easier product separation and more effective recirculation of the catalyst may be achieved if the catalysts are fixed on a supported ionic liquid phase. The aim of my work was to develop such catalysts and to test them in aminocarbonylation reactions.</w:t>
      </w:r>
    </w:p>
    <w:p>
      <w:pPr>
        <w:widowControl w:val="on"/>
        <w:pBdr/>
        <w:spacing w:before="240" w:after="240" w:line="240" w:lineRule="auto"/>
        <w:ind w:left="0" w:right="0"/>
        <w:jc w:val="left"/>
      </w:pPr>
      <w:r>
        <w:rPr>
          <w:color w:val="000000"/>
          <w:sz w:val="24"/>
          <w:szCs w:val="24"/>
        </w:rPr>
        <w:t xml:space="preserve">The immobilization of the ionic liquid can be performed either by physical adsorption or by grafting. In the present work, both methods were utilized during catalyst preparation. Both palladium(0) and palladium(II) compounds were used as catalyst precursors. Catalysts were prepared both without the addition of further ligands and using phosphine ligands.</w:t>
      </w:r>
    </w:p>
    <w:p>
      <w:pPr>
        <w:widowControl w:val="on"/>
        <w:pBdr/>
        <w:spacing w:before="240" w:after="240" w:line="240" w:lineRule="auto"/>
        <w:ind w:left="0" w:right="0"/>
        <w:jc w:val="left"/>
      </w:pPr>
      <w:r>
        <w:rPr>
          <w:color w:val="000000"/>
          <w:sz w:val="24"/>
          <w:szCs w:val="24"/>
        </w:rPr>
        <w:t xml:space="preserve">The catalysts were tested in the carbonylation reaction of iodobenzene with morpholine under CO pressure in the presence of a base. The best results were obtained without the addition of any solvent, in these reactions the catalyst could be recycled 9-10 times. It was found, that the selectivity for the mono- or double-carbonylated products depended greatly on the reaction conditions. The palladium and ionic liquid leaching were also monitored.</w:t>
      </w:r>
    </w:p>
    <w:p>
      <w:pPr>
        <w:widowControl w:val="on"/>
        <w:pBdr/>
        <w:spacing w:before="240" w:after="240" w:line="240" w:lineRule="auto"/>
        <w:ind w:left="0" w:right="0"/>
        <w:jc w:val="left"/>
      </w:pPr>
      <w:r>
        <w:rPr>
          <w:color w:val="000000"/>
          <w:sz w:val="24"/>
          <w:szCs w:val="24"/>
        </w:rPr>
        <w:t xml:space="preserve">The yields and the structure of products were determined by GC and GC-MS.</w:t>
      </w:r>
    </w:p>
    <w:p>
      <w:pPr>
        <w:widowControl w:val="on"/>
        <w:pBdr/>
        <w:spacing w:before="240" w:after="240" w:line="240" w:lineRule="auto"/>
        <w:ind w:left="0" w:right="0"/>
        <w:jc w:val="left"/>
      </w:pPr>
      <w:r>
        <w:rPr>
          <w:color w:val="000000"/>
          <w:sz w:val="24"/>
          <w:szCs w:val="24"/>
        </w:rPr>
        <w:t xml:space="preserve">Keywords: heterogenization; iodobenzene; ionic liquid; amide; ketoamide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717384">
    <w:multiLevelType w:val="hybridMultilevel"/>
    <w:lvl w:ilvl="0" w:tplc="722258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717384">
    <w:abstractNumId w:val="237173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89799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