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CSÁSZÁR</w:t>
            </w:r>
          </w:p>
          <w:p w:rsidR="00C275A3" w:rsidRDefault="00A96AEC" w:rsidP="00C275A3">
            <w:pPr>
              <w:pStyle w:val="Hallgatokepzes"/>
            </w:pPr>
            <w:r>
              <w:t>B.Sc. in Chemistry</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Bakos</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Gergely Farkas</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Hybrid chelating phosphine-phosphite ligands: Application in catalytic asymmetric allylic alkylation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asymmetric allylic alkylation (also called Trost-type AAA reaction) is a suitable methology for the enantioselective formation of carbon-carbon and carbon-heteroatom (usually O, N and S) σ-bonds. The importance of the Pd-catalyzed reaction is enhanced by the fact that the intermediates of the catalytic cycle can easily be investigated by standard spectroscopic methods. Another advantage of the reaction is that it takes place under much milder conditions than „ordinary” S</w:t>
      </w:r>
      <w:r>
        <w:rPr>
          <w:color w:val="000000"/>
          <w:position w:val="-4"/>
          <w:sz w:val="21"/>
          <w:szCs w:val="21"/>
          <w:vertAlign w:val="subscript"/>
        </w:rPr>
        <w:t xml:space="preserve">N</w:t>
      </w:r>
      <w:r>
        <w:rPr>
          <w:color w:val="000000"/>
          <w:sz w:val="24"/>
          <w:szCs w:val="24"/>
        </w:rPr>
        <w:t xml:space="preserve">1 or S</w:t>
      </w:r>
      <w:r>
        <w:rPr>
          <w:color w:val="000000"/>
          <w:position w:val="-4"/>
          <w:sz w:val="21"/>
          <w:szCs w:val="21"/>
          <w:vertAlign w:val="subscript"/>
        </w:rPr>
        <w:t xml:space="preserve">N</w:t>
      </w:r>
      <w:r>
        <w:rPr>
          <w:color w:val="000000"/>
          <w:sz w:val="24"/>
          <w:szCs w:val="24"/>
        </w:rPr>
        <w:t xml:space="preserve">2 reactions.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position w:val="-3"/>
          <w:sz w:val="24"/>
          <w:szCs w:val="24"/>
        </w:rPr>
        <w:drawing>
          <wp:inline distT="0" distB="0" distL="0" distR="0">
            <wp:extent cx="3456000" cy="676800"/>
            <wp:docPr id="88905939" name="name150d5cb039c4cc" descr="imgtmp_18499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499_int_1.png"/>
                    <pic:cNvPicPr/>
                  </pic:nvPicPr>
                  <pic:blipFill>
                    <a:blip r:embed="rId150d5cb039c48e" cstate="print"/>
                    <a:stretch>
                      <a:fillRect/>
                    </a:stretch>
                  </pic:blipFill>
                  <pic:spPr>
                    <a:xfrm>
                      <a:off x="0" y="0"/>
                      <a:ext cx="3456000" cy="6768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my research chiral hybrid phosphine-phosphite type ligands were evaluated in asymmetric allylic substitution reactions. In the catalytic experiments the effect of the ligands’ structure on the selectivity and activity was studied and thus the relationship between the structure of the catalysts and their catalytic properties was investigated.</w:t>
      </w:r>
    </w:p>
    <w:p>
      <w:pPr>
        <w:pBdr/>
        <w:spacing w:before="240" w:after="240" w:line="240" w:lineRule="auto"/>
        <w:ind w:left="0" w:right="0"/>
        <w:jc w:val="left"/>
      </w:pPr>
      <w:r>
        <w:rPr>
          <w:color w:val="000000"/>
          <w:sz w:val="24"/>
          <w:szCs w:val="24"/>
        </w:rPr>
        <w:t xml:space="preserve">It has been successfully proven that the size of the chelate-ring has a significant effect on the catalytic properties of the complexes. In certain cases decreasing the temperature or addition of alkali-acetates led to an increase in selectivity. The effect of the solvent on the catalyst activity was also evaluated. It is important to note that the catalytic reaction can be performed in green solvents without the loss of activity and selectivity. Moreover, excellent activities and moderate selectivities were achieved in the catalytic experiments.</w:t>
      </w:r>
      <w:r>
        <w:rPr>
          <w:color w:val="000000"/>
          <w:position w:val="4"/>
          <w:sz w:val="21"/>
          <w:szCs w:val="21"/>
          <w:vertAlign w:val="superscript"/>
        </w:rPr>
        <w:t xml:space="preserve">1</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 Farkas, G.; Császár, Zs.; Szöllősy, Á.; Bakos, J. Catal. Commun. (submitted)</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Keywords: enantioselective catalysis, allylic alkylation, palladium, chelate ring size, chiral P(III)-ligands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04947">
    <w:multiLevelType w:val="hybridMultilevel"/>
    <w:lvl w:ilvl="0" w:tplc="58057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04947">
    <w:abstractNumId w:val="82904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505930" Type="http://schemas.openxmlformats.org/officeDocument/2006/relationships/numbering" Target="numbering.xml"/><Relationship Id="rId150d5cb039c48e" Type="http://schemas.openxmlformats.org/officeDocument/2006/relationships/image" Target="media/imgrId150d5cb039c48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