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BOGÁTH DÁNIEL</w:t>
            </w:r>
          </w:p>
          <w:p w:rsidR="00C275A3" w:rsidRDefault="00A96AEC" w:rsidP="00C275A3">
            <w:pPr>
              <w:pStyle w:val="Hallgatokepzes"/>
            </w:pPr>
            <w:r>
              <w:t>Vegyészmérnök BSc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Kaizer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 József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N3 és N3O donor ligandumok átmenetifém-komplexeinek katalitikus hatása hidrogén-peroxiddal végzett reakciókban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egyes enzimek (katalázok) a hidrogén-peroxid gyors elbontására specializálódtak, amellyel részt vesznek a szervezet oxidatív stressz elleni védekezésében, addig más enzimek hidrogén-peroxidot termelnek, vagy épp felhasználják azt oxidációs reakciókban. E kettősség mintájára mesterséges modellek is elképzelhetők, amelyeknek mindkét irányú tulajdonsága vizsgálható. A kataláz modellek gyógyászati, a hidrogén-peroxiddal végzett, ún. bioutánzó reakciók (zöld oxidációk) pedig ipari szempontból lehetnek fontosak.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csoportban végzett korábbi kutatások folytatásaként szerettünk volna olyan ligandumpárral dolgozni, amely lehetővé teszi a karboxilát-csoportnak a fenti reakciókban betöltött szerepének vizsgálatát. Modellvegyületként egymagvú átmenetifém-komplexeket (Mn, Fe, Co, Ni és Cu) állítottunk elő, N-metilpropionát-N,N-bisz-(2-piridil-metil)-amin (MPBMPA) és N-propionát-N,N-bisz-(2-piridil-metil)-amin (HPBMPA) ligandumok [1] segítségével. A komplexeket infravörös és UV-látható spektroszkópiával, ciklikus voltammetriával és röntgendiffrakciós mérések segítségével jellemeztük [2].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vizsgáltuk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bomlási sebességét (kataláz modell), ill. a morin oxidációját (oxigenáz aktivitás) a komplexek jelenlétében. Összefüggést találtunk e két aktivitás között, ami arra utalhat, hogy ugyanazon aktív intermedierek lépnek fel mindkét reakciótípusban.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N.M.F. Carvalho, A. Horn, Jr., R.B. Faria, A.J. Bortoluzzi, V. Drago, O.A.C. Antunes, Inorg. Chim. Acta 359 (2006) 4250–4258.</w:t>
      </w:r>
      <w:r>
        <w:rPr>
          <w:color w:val="000000"/>
          <w:sz w:val="24"/>
          <w:szCs w:val="24"/>
        </w:rPr>
        <w:br/>
        <w:t xml:space="preserve">[2] József S. Pap, Balázs Kripli, István Bors, Dániel Bogáth, Michel Giorgi, József Kaizer, Gábor Speier, J. Inorg. Biochem. 117 (2012) 60-70.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10727">
    <w:multiLevelType w:val="hybridMultilevel"/>
    <w:lvl w:ilvl="0" w:tplc="12462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10727">
    <w:abstractNumId w:val="91410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897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