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ANNA FODOR</w:t>
            </w:r>
          </w:p>
          <w:p w:rsidR="00C275A3" w:rsidRDefault="00A96AEC" w:rsidP="00C275A3">
            <w:pPr>
              <w:pStyle w:val="Hallgatokepzes"/>
            </w:pPr>
            <w:r>
              <w:t>Chemist</w:t>
            </w:r>
            <w:r>
              <w:br/>
            </w:r>
            <w:r w:rsidR="00E77B23">
              <w:t>MSc, 9.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Ottó Horváth</w:t>
            </w:r>
          </w:p>
          <w:p w:rsidR="00DB4822" w:rsidRDefault="00DB4822" w:rsidP="00E11062">
            <w:pPr>
              <w:pStyle w:val="Konzulensek"/>
            </w:pPr>
            <w:r w:rsidRPr="00DB4822">
              <w:t>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Photochemical and photophysical study of water-soluble porphyrin complexes of manganese and cobalt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Porphyrins and their derivatives play imortant roles in the processes of metabolism of both plants and animals (chlorofill, hemoglobin, cytochromes).</w:t>
      </w:r>
    </w:p>
    <w:p>
      <w:pPr>
        <w:pBdr/>
        <w:spacing w:before="240" w:after="240" w:line="240" w:lineRule="auto"/>
        <w:ind w:left="0" w:right="0"/>
        <w:jc w:val="left"/>
      </w:pPr>
      <w:r>
        <w:rPr>
          <w:color w:val="000000"/>
          <w:sz w:val="24"/>
          <w:szCs w:val="24"/>
        </w:rPr>
        <w:t xml:space="preserve">The porphyrin skeleton consists of 4 pyrrole rings connected through –CH= bridges. Due to this structure containing a conjugated bond-system the porphyrin derivatives are applied, among others, as photosensitizers as well as photo- and thermal catalysts.</w:t>
      </w:r>
    </w:p>
    <w:p>
      <w:pPr>
        <w:pBdr/>
        <w:spacing w:before="240" w:after="240" w:line="240" w:lineRule="auto"/>
        <w:ind w:left="0" w:right="0"/>
        <w:jc w:val="left"/>
      </w:pPr>
      <w:r>
        <w:rPr>
          <w:color w:val="000000"/>
          <w:sz w:val="24"/>
          <w:szCs w:val="24"/>
        </w:rPr>
        <w:t xml:space="preserve">In my work cationic manganese(III)- and cobalt(III)-5,10,15,20-tetrakis(1-methylpyridinium-4-yl)-porphyrin complexes as well as their surface active derivatives with hexylpyridinium4-yl substituents were synthesized. Spectral and photophysical properties (e.g. luminescence lifetime) of these water-soluble metalloporphyrins were determined at room temperature.</w:t>
      </w:r>
    </w:p>
    <w:p>
      <w:pPr>
        <w:pBdr/>
        <w:spacing w:before="240" w:after="240" w:line="240" w:lineRule="auto"/>
        <w:ind w:left="0" w:right="0"/>
        <w:jc w:val="left"/>
      </w:pPr>
      <w:r>
        <w:rPr>
          <w:color w:val="000000"/>
          <w:sz w:val="24"/>
          <w:szCs w:val="24"/>
        </w:rPr>
        <w:t xml:space="preserve">In the case of all complexes studied in this work, I have realized the efficient photochemical reduction of the metal center (to +2 oxidation state) by application of an appropriate reductive quencher (triethanolamine) upon irradiation with monochromatic light visible light in the visible range.</w:t>
      </w:r>
    </w:p>
    <w:p>
      <w:pPr>
        <w:pBdr/>
        <w:spacing w:before="240" w:after="240" w:line="240" w:lineRule="auto"/>
        <w:ind w:left="0" w:right="0"/>
        <w:jc w:val="left"/>
      </w:pPr>
      <w:r>
        <w:rPr>
          <w:color w:val="000000"/>
          <w:sz w:val="24"/>
          <w:szCs w:val="24"/>
        </w:rPr>
        <w:t xml:space="preserve">The photoinduced degradation of these manganese(II) and cobalt(II) porphyrins, due to electron transfer from the ligand to the metal center, could be moderated by application of the oxidative quencher methylviologen. This combination, at the same time, resulted in the formation of photocatalytic systems (cycles). Comparing experiments were also carried out to reveal how the tape of the metal center (Mn(III) vs. Co(III)) affects the photoactivity of these complexes, and thus, the efficiency of the photocatalytic systems based on them.</w:t>
      </w:r>
    </w:p>
    <w:p>
      <w:pPr>
        <w:pBdr/>
        <w:spacing w:before="240" w:after="240" w:line="240" w:lineRule="auto"/>
        <w:ind w:left="0" w:right="0"/>
        <w:jc w:val="left"/>
      </w:pPr>
      <w:r>
        <w:rPr>
          <w:color w:val="000000"/>
          <w:sz w:val="24"/>
          <w:szCs w:val="24"/>
        </w:rPr>
        <w:t xml:space="preserve">Applying a cationic surfactant (cetyltrimethylammonium bromide), it was studied how the micellar microenvironment influences the photophysical and photochemical properties of these coordination compounds, how the positive surface charge and the hydrophobic interactions affect the primary processes starting from the excited states as well as the subsequent thermal reactions.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802819">
    <w:multiLevelType w:val="hybridMultilevel"/>
    <w:lvl w:ilvl="0" w:tplc="932088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802819">
    <w:abstractNumId w:val="718028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94223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