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TÁBOROSI ATTILA</w:t>
            </w:r>
          </w:p>
          <w:p w:rsidR="00C275A3" w:rsidRDefault="00A96AEC" w:rsidP="00C275A3">
            <w:pPr>
              <w:pStyle w:val="Hallgatokepzes"/>
            </w:pPr>
            <w:r>
              <w:t>Környezetmérnök BSc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Kurdi Róbert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Montmorillonit nanokompozitok vizsgálata számításos kémiai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alapvető célja a montmorillonit-didodecil-dimetil-ammónium (MMT-DDDMA) komplex szerkezetvizsgálata volt, a kísérletes úton meghatározott kationcsere-kapacitás (CEC – Cation Exchange Capacity), illetve az ehhez tartozó bázislap távolság függvényében. Nem foglalkoztam az egyes szerkezetekhez tartozó pontos energia értékek kiszámításával, de a molekulamechanikai módszer használatával az egyes szerkezetekhez tartozó energiaértékek tekintetében relatív sorrendet tudtam felállítani.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kísérletes módszerek során R.L. Frost és munkatársai a montmorillonit bázikus kationjait DDDMA kationra cserélték le. A MMT-DDDMA komplex modellezéséhez ezért szükséges volt a csere-kation konformáció analízisének elvégzésére is, az interkalálószer (DDDMA) legstabilabb állapotának megállapítása érdekében.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Elvégeztem mind az „üres”, mind az interkalált MMT illetve MMT-komplex rácsszerkezetének meghatározását különböző ioncsere-kapacitás értékek függvényében. Az így kapott szerkezeteteket illetve bázislap távolság értékeket korreláltattam, a kísérletes úton meghatározott röntgendiffrackiós mérési adatokkal.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Megállapítottam, hogy korlátai ellenére is jól használható a molekulamechanikai módszer a nagy atomszámú montmorillonit-komplex szerkezetének felderítésére és a kísérleti adatokból tett következtetéseket a számításos módszerek jól kiegészítik.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590017">
    <w:multiLevelType w:val="hybridMultilevel"/>
    <w:lvl w:ilvl="0" w:tplc="434638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590017">
    <w:abstractNumId w:val="645900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77163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