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MEGYERI GÁBOR</w:t>
            </w:r>
          </w:p>
          <w:p w:rsidR="00C275A3" w:rsidRDefault="00A96AEC" w:rsidP="00C275A3">
            <w:pPr>
              <w:pStyle w:val="Hallgatokepzes"/>
            </w:pPr>
            <w:r>
              <w:t>Környezetmérnök</w:t>
            </w:r>
            <w:r>
              <w:br/>
            </w:r>
            <w:r w:rsidR="00E77B23">
              <w:t>MSc, 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Nemestóthy Nándor</w:t>
            </w:r>
          </w:p>
          <w:p w:rsidR="00DB4822" w:rsidRDefault="00DB4822" w:rsidP="00E11062">
            <w:pPr>
              <w:pStyle w:val="Konzulensek"/>
            </w:pPr>
            <w:r w:rsidRPr="00DB4822">
              <w:t>tudományos 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Ionos folyadékok a mezőgazdasági hulladékok hasznosításában: úton az egylépéses előkezelés és cellulóz hidrolízis felé</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olcsó, megújuló forrásból származó lignocellulóz tartalmú anyagok jelentik a bioüzemanyag gyártás jövőjét. A fa és a mezőgazdasági hulladékok (pl. szalma, kukoricaszár, stb.) képezik azt az étkezési célokra nem használható nyersanyagforrást, amiből a bioüzemanyagok egy része megtermelhető, ugyanakkor nem veszélyeztetik az élelmiszer ellátást.</w:t>
      </w:r>
    </w:p>
    <w:p>
      <w:pPr>
        <w:pBdr/>
        <w:spacing w:before="240" w:after="240" w:line="240" w:lineRule="auto"/>
        <w:ind w:left="0" w:right="0"/>
        <w:jc w:val="left"/>
      </w:pPr>
      <w:r>
        <w:rPr>
          <w:color w:val="000000"/>
          <w:sz w:val="24"/>
          <w:szCs w:val="24"/>
        </w:rPr>
        <w:t xml:space="preserve">A lignocellulóz három fő összetevője a cellulóz, a hemicellulóz és a lignin. A bioüzemanyag előállítása ebből – ellentétben a szénhidrátokat (pl. glükóz és keményítő) felhasználó első generációs gyártással – három fő lépésben történik: 1) a nyersanyag aprítása és előkezelése, ami lignocellulóz tartalmú anyagokat alkalmassá teszi enzimes/mikrobiális/savas hidrolízis számára; 2) a cellulóz és hemicellulóz hidrolízise fermentálható redukáló cukrokká; 3) a cukrok fermentálása bioüzemanyagokká.</w:t>
      </w:r>
    </w:p>
    <w:p>
      <w:pPr>
        <w:pBdr/>
        <w:spacing w:before="240" w:after="240" w:line="240" w:lineRule="auto"/>
        <w:ind w:left="0" w:right="0"/>
        <w:jc w:val="left"/>
      </w:pPr>
      <w:r>
        <w:rPr>
          <w:color w:val="000000"/>
          <w:sz w:val="24"/>
          <w:szCs w:val="24"/>
        </w:rPr>
        <w:t xml:space="preserve">E lépések közül a napjainkban a leginkább vizsgált lépés az előkezelés, mert ennek elsődleges célja a lignocellulóz komplex feltárása, minek hatására az enzimek számára hozzáférhetővé, lebonthatóvá válik. A számos, eddig vizsgált fizikai, kémiai, biológiai vagy ezek kombinációjából álló eljárás mindegyike rendelkezik olyan hátrányokkal, melyek megakadályozták a gazdaságos használatot. Napjainkban előtérbe kerültek az ionos folyadékban végzett előkezelések. Ezek hatására a cellulóz szerkezet olyan mértékben fellazul, hogy antiszolvens adagolás hatására nagy hozammal nyerhető ki az amorf, az enzimes hidrolízis számára alkalmas cellulóz.</w:t>
      </w:r>
    </w:p>
    <w:p>
      <w:pPr>
        <w:pBdr/>
        <w:spacing w:before="240" w:after="240" w:line="240" w:lineRule="auto"/>
        <w:ind w:left="0" w:right="0"/>
        <w:jc w:val="left"/>
      </w:pPr>
      <w:r>
        <w:rPr>
          <w:color w:val="000000"/>
          <w:sz w:val="24"/>
          <w:szCs w:val="24"/>
        </w:rPr>
        <w:t xml:space="preserve">Kísérleti munkám célja és újszerűsége, hogy az ionos folyadékos (1-n-butil-3-metil-imidazolium-klorid ([Bmim]Cl)) előkezelést úgy végezzem el, hogy ne legyen szükség az antiszolvens alkalmazására, hanem a hidrolízist, az ionos folyadékos oldatban tudjam elvégezni. Vizsgálataimhoz modell anyagként tisztított cellulózt használtam. Több paraméteres kísérlettervezéssel határoztam meg az előkezelésre és az enzimes hidrolízisre jelentős hatást gyakorló paramétereket és optimális értékeiket. Ezen adatok birtokában végeztem további kísérleteimet kukorica (Zea mays) levélnek és szárának a keverékével. Megállapítottam, hogy az ionos folyadékos kezelés hatására a cellulóz szerkezet olyan változáson esett át, hogy a NOVOZYMES (Dánia) cég által kifejlesztés alatt levő Cellic® CTec2 és Cellic® HTec2 enzimkoplexek hatására magas hozammal képződött a már fermentálható glükóz.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01833">
    <w:multiLevelType w:val="hybridMultilevel"/>
    <w:lvl w:ilvl="0" w:tplc="53854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01833">
    <w:abstractNumId w:val="17301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200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