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NEMETH</w:t>
            </w:r>
          </w:p>
          <w:p w:rsidR="00C275A3" w:rsidRDefault="00A96AEC" w:rsidP="00C275A3">
            <w:pPr>
              <w:pStyle w:val="Hallgatokepzes"/>
            </w:pPr>
            <w:r>
              <w:t>environmental engineering</w:t>
            </w:r>
            <w:r>
              <w:br/>
            </w:r>
            <w:r w:rsidR="00E77B23">
              <w:t>MSc,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Akos Redey (DSc)</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Anett Utasi</w:t>
            </w:r>
          </w:p>
          <w:p w:rsidR="00DB4822" w:rsidRDefault="00DB4822" w:rsidP="00E11062">
            <w:pPr>
              <w:pStyle w:val="Konzulensek"/>
            </w:pPr>
            <w:r w:rsidRPr="00DB4822">
              <w:t>professor’s assistant, PE MK</w:t>
            </w:r>
          </w:p>
        </w:tc>
      </w:tr>
      <w:tr w:rsidR="00DB4822" w:rsidTr="00DB4822">
        <w:tc>
          <w:tcPr>
            <w:tcW w:w="9854" w:type="dxa"/>
          </w:tcPr>
          <w:p w:rsidR="00DB4822" w:rsidRPr="00DB4822" w:rsidRDefault="00DB4822" w:rsidP="004D7940">
            <w:pPr>
              <w:pStyle w:val="Konzulensek"/>
            </w:pPr>
            <w:r w:rsidRPr="00DB4822">
              <w:t>Szilvia Gartner</w:t>
            </w:r>
          </w:p>
          <w:p w:rsidR="00DB4822" w:rsidRDefault="00DB4822" w:rsidP="00E11062">
            <w:pPr>
              <w:pStyle w:val="Konzulensek"/>
            </w:pPr>
            <w:r w:rsidRPr="00DB4822">
              <w:t>SHE supervisor,  DENSO Manufacturing Hungary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Impact Assessment method for adaptation and testing of DENSO Manufacturing Hungary Ltd.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environmental impact assessment has gained a very important role in the decision making regarding different projects, investments, actions and proposals. The environmental impact assessment is a systematic process which deals with the consequences of the future developments in advance. The methodology of the assessment includes several techniques. The quantitative methods focus on the evaluation of the impacts by assigning importance values to the environmental parameters and quality scores. The method devised by Robu was further developed and protocol for the determination of the complex environment state index was devised. This method is adapted for a car part manufacturing company and conclusions are made on the environmental impacts of the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71819">
    <w:multiLevelType w:val="hybridMultilevel"/>
    <w:lvl w:ilvl="0" w:tplc="97966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71819">
    <w:abstractNumId w:val="26271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453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