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ÁKOS</w:t>
            </w:r>
          </w:p>
          <w:p w:rsidR="00C275A3" w:rsidRDefault="00A96AEC" w:rsidP="00C275A3">
            <w:pPr>
              <w:pStyle w:val="Hallgatokepzes"/>
            </w:pPr>
            <w:r>
              <w:t>biomérnöki alapszak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Varga Szabolcs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Folyadékkristályok elegymodellezése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folyadékkristályokat modelleztem mint azonosan hosszú, merev és végtelenül vékony pálcikák rendszere. A pálcikák szabadon elforoghatnak meghatározott irányokba és kémiai egyensúlyban vannak. Az elfordulás síkban történik, ahol a szomszédos irányok egyenlő szögben vannak egymással. Adott komponens szám esetén a kialakult móltörtek eloszlását rendparaméterrel jellemeztem. A modellt Viriál-sorfejtéssel vizsgáltam, ahol a számolásaimat különböző komponens számú elegyekre írtam fel, majd a kapott eredményeket az Onsager-elmélettel vetettem össze. Végeredményben az elegy-modell 16 komponens esetén már jó közelítéssel visszaadja az Onsager-elmélet eredményeit.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265983">
    <w:multiLevelType w:val="hybridMultilevel"/>
    <w:lvl w:ilvl="0" w:tplc="918881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265983">
    <w:abstractNumId w:val="9526598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302979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