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LUKÁCS-FARKAS JÓZSEF</w:t>
            </w:r>
          </w:p>
          <w:p w:rsidR="00C275A3" w:rsidRDefault="00A96AEC" w:rsidP="00C275A3">
            <w:pPr>
              <w:pStyle w:val="Hallgatokepzes"/>
            </w:pPr>
            <w:r>
              <w:t>bűnügyi igazgatási szakirány-pénzügyi nyomozói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Andrea</w:t>
            </w:r>
          </w:p>
          <w:p w:rsidR="00DB4822" w:rsidRDefault="00DB4822" w:rsidP="00E11062">
            <w:pPr>
              <w:pStyle w:val="Konzulensek"/>
            </w:pPr>
            <w:r w:rsidRPr="00DB4822">
              <w:t>mb. tanszékvezető,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ÁFA-csalások legjellemzőbb elkövetési formái, megoldási kísérleteik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ÁFA- csalás leggyakrabban előforduló módozatai. Kezdetben kitértem és nagy hangsúlyt fektettem az adócsalás fejlődésére, elkövetési formáira és szankcionálására egészen a kezdetektől napjainkig. Fontosnak ítéltem megemlíteni a Btk.-ba frissen bekerült költségvetési csalást és annak előnyeinek, valamint hátrányainak elemzését, ill. az adócsalás ezen tényálláson belül elfoglalt helyét. A dolgozat következő részeiben a delictum kriminalisztikai szempontból történő megközelítéséről van szó, kitérve a lehetséges bizonyítási eszközökre is. Nagyban meghatározza a nyomozó szervek működését az Únióhoz történt csatlakozás, egyre nagyobb jelentőséget kap a külföldi szervekkel történő együttműködés, a határon átnyúló problémák nemzetközi szintű megoldást igényelnek, ezért a dolgozat utolsó része a csatlakozás nyújtotta lehetőségek ilyen téren történő kihasználását tárgyalja.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32711">
    <w:multiLevelType w:val="hybridMultilevel"/>
    <w:lvl w:ilvl="0" w:tplc="43315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32711">
    <w:abstractNumId w:val="86432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292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