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HERR ÁGNES</w:t>
            </w:r>
          </w:p>
          <w:p w:rsidR="00C275A3" w:rsidRDefault="00A96AEC" w:rsidP="00C275A3">
            <w:pPr>
              <w:pStyle w:val="Hallgatokepzes"/>
            </w:pPr>
            <w:r>
              <w:t>Elektronikus ábrázolás</w:t>
            </w:r>
            <w:r>
              <w:br/>
            </w:r>
            <w:r w:rsidR="00E77B23">
              <w:t>BA, 5. félév</w:t>
            </w:r>
          </w:p>
          <w:p w:rsidR="00C265CE" w:rsidRPr="009E5FF1" w:rsidRDefault="00E77B23" w:rsidP="00C275A3">
            <w:pPr>
              <w:pStyle w:val="Hallgatokepzes"/>
              <w:rPr>
                <w:b/>
                <w:caps/>
              </w:rPr>
            </w:pPr>
            <w:r>
              <w:t>Eszterházy Károly Főiskola</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Marcell Tamás</w:t>
            </w:r>
          </w:p>
          <w:p w:rsidR="00DB4822" w:rsidRDefault="00DB4822" w:rsidP="00E11062">
            <w:pPr>
              <w:pStyle w:val="Konzulensek"/>
            </w:pPr>
            <w:r w:rsidRPr="00DB4822">
              <w:t>tanársegéd,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Vizuális identitás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Vizuális identitás</w:t>
      </w:r>
    </w:p>
    <w:p>
      <w:pPr>
        <w:pBdr/>
        <w:spacing w:before="240" w:after="240" w:line="240" w:lineRule="auto"/>
        <w:ind w:left="0" w:right="0"/>
        <w:jc w:val="left"/>
      </w:pPr>
      <w:r>
        <w:rPr>
          <w:color w:val="000000"/>
          <w:sz w:val="24"/>
          <w:szCs w:val="24"/>
        </w:rPr>
        <w:t xml:space="preserve">A Miskolci Nemzeti Színház 2012 májusában arculatváltásra szánta el magát, e szándékukkal az Eszterházy Károly Vizuális Művészeti Tanszéket keresték fel. Nem csupán arculatváltásról volt szó, hanem egy teljesen új egységes megjelenést kellett létrehozni. Az általam készített arculati terv egy egyenlő szárú háromszögekből felépülő hálórendszeren alapszik, mely az egész arculat építőeleméül szolgál. A háromszögekkel a tér hézag mentesen lefedhető, s ezért kialakítható belőle egy egységes geometriai formarendszer, mely alapjául szolgál a különböző elemek rendszerbe foglalásának. Bármilyen alakzat felépíthető és ezekre készítettem variációkat az adott színpadi terek formavilágának megfelelően. Ránézve a színpadra egyből adja magát a vizuális koncepció ami az „M” betűn alapszik és megteremti a kohéziót a színház struktúrája és az arculat között. Továbbá az „M” betű, mely a fő- és allogók befogadó formája utal magára a Miskolci Nemzeti Színházra. A Miskolci Nemzeti Színház négy színpadi térrel rendelkezik ezért nem csupán csak egy főlogót kellett készítenem, hanem minden színpadi térhez egyet-egyet. A főlogó megjelenik a kisarculati elemeken valamit egyéb kiadványokon például műsorfüzeten. Az allogóknál ugyan ezt az „M” formát alkalmaztam, de minden színpadnál figyelembe vettem az adott tér forma-, szín- és hangulat világát valamint, hogy milyen darabokat adnak elő azon a színpadon. A színek kiválasztásánál törekedtem arra, hogy mai színeket használjak, melyek harmonizálnak egymással, erőteljesek és visszaadják az előadótér atmoszféráját.</w:t>
      </w:r>
    </w:p>
    <w:p>
      <w:pPr>
        <w:pBdr/>
        <w:spacing w:before="240" w:after="240" w:line="240" w:lineRule="auto"/>
        <w:ind w:left="0" w:right="0"/>
        <w:jc w:val="left"/>
      </w:pPr>
      <w:r>
        <w:rPr>
          <w:color w:val="000000"/>
          <w:sz w:val="24"/>
          <w:szCs w:val="24"/>
        </w:rPr>
        <w:t xml:space="preserve">Nagyszínház – piros - legdinamikusabb, figyelmet parancsoló.</w:t>
      </w:r>
    </w:p>
    <w:p>
      <w:pPr>
        <w:pBdr/>
        <w:spacing w:before="240" w:after="240" w:line="240" w:lineRule="auto"/>
        <w:ind w:left="0" w:right="0"/>
        <w:jc w:val="left"/>
      </w:pPr>
      <w:r>
        <w:rPr>
          <w:color w:val="000000"/>
          <w:sz w:val="24"/>
          <w:szCs w:val="24"/>
        </w:rPr>
        <w:t xml:space="preserve">Kamara – magenta - élet energiát sugall, rendezettségest.</w:t>
      </w:r>
    </w:p>
    <w:p>
      <w:pPr>
        <w:pBdr/>
        <w:spacing w:before="240" w:after="240" w:line="240" w:lineRule="auto"/>
        <w:ind w:left="0" w:right="0"/>
        <w:jc w:val="left"/>
      </w:pPr>
      <w:r>
        <w:rPr>
          <w:color w:val="000000"/>
          <w:sz w:val="24"/>
          <w:szCs w:val="24"/>
        </w:rPr>
        <w:t xml:space="preserve">Játékszín – zöld - nyugalom, természetesség</w:t>
      </w:r>
    </w:p>
    <w:p>
      <w:pPr>
        <w:pBdr/>
        <w:spacing w:before="240" w:after="240" w:line="240" w:lineRule="auto"/>
        <w:ind w:left="0" w:right="0"/>
        <w:jc w:val="left"/>
      </w:pPr>
      <w:r>
        <w:rPr>
          <w:color w:val="000000"/>
          <w:sz w:val="24"/>
          <w:szCs w:val="24"/>
        </w:rPr>
        <w:t xml:space="preserve">Csarnok – kék - fiatalság, hűvösen nyugodt</w:t>
      </w:r>
    </w:p>
    <w:p>
      <w:pPr>
        <w:pBdr/>
        <w:spacing w:before="240" w:after="240" w:line="240" w:lineRule="auto"/>
        <w:ind w:left="0" w:right="0"/>
        <w:jc w:val="left"/>
      </w:pPr>
      <w:r>
        <w:rPr>
          <w:color w:val="000000"/>
          <w:sz w:val="24"/>
          <w:szCs w:val="24"/>
        </w:rPr>
        <w:t xml:space="preserve">Ezek a formák és színek visszaköszönnek a plakátokon valamint a műsorfüzet belső elválasztó oldal párjain és egyéb vizuális elemeken.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027863">
    <w:multiLevelType w:val="hybridMultilevel"/>
    <w:lvl w:ilvl="0" w:tplc="146442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027863">
    <w:abstractNumId w:val="800278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28173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