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BIRÓ</w:t>
            </w:r>
          </w:p>
          <w:p w:rsidR="00C275A3" w:rsidRDefault="00A96AEC" w:rsidP="00C275A3">
            <w:pPr>
              <w:pStyle w:val="Hallgatokepzes"/>
            </w:pPr>
            <w:r>
              <w:t>Communication and Media Studies</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Kálai PhD.</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representation of religion and the church in public service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religion and the church can not only be examined from the viewpoint of media studies. It is a subject that may concern those who take an interest in different religions and churches but also those who wish to examine the topic from a scientific point of view.</w:t>
      </w:r>
    </w:p>
    <w:p>
      <w:pPr>
        <w:widowControl w:val="on"/>
        <w:pBdr/>
        <w:spacing w:before="240" w:after="240" w:line="240" w:lineRule="auto"/>
        <w:ind w:left="0" w:right="0"/>
        <w:jc w:val="left"/>
      </w:pPr>
      <w:r>
        <w:rPr>
          <w:color w:val="000000"/>
          <w:sz w:val="24"/>
          <w:szCs w:val="24"/>
        </w:rPr>
        <w:t xml:space="preserve">How do religion and the church shown on public service television channels? This research focuces on the history of Hungarian television, the definition of public service, the social presence of religions and churches, the analization of media laws, the problem of paleo and neo television and a concrete sample and its evaulation. The thorough analysis of media laws is considered to have a high importance, especially the first media law. The opinion of the churches and the examination of the connection that the church and media share.</w:t>
      </w:r>
    </w:p>
    <w:p>
      <w:pPr>
        <w:widowControl w:val="on"/>
        <w:pBdr/>
        <w:spacing w:before="240" w:after="240" w:line="240" w:lineRule="auto"/>
        <w:ind w:left="0" w:right="0"/>
        <w:jc w:val="left"/>
      </w:pPr>
      <w:r>
        <w:rPr>
          <w:color w:val="000000"/>
          <w:sz w:val="24"/>
          <w:szCs w:val="24"/>
        </w:rPr>
        <w:t xml:space="preserve">The aim of this research is to give a (not representative) picture of religious exercises, habits of using the television (and the radio or the internet) and communication of the church by analysing the completed/filled questionnaires.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31956">
    <w:multiLevelType w:val="hybridMultilevel"/>
    <w:lvl w:ilvl="0" w:tplc="33175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31956">
    <w:abstractNumId w:val="15231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481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