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HEGEDÜS</w:t>
            </w:r>
          </w:p>
          <w:p w:rsidR="00C275A3" w:rsidRDefault="00A96AEC" w:rsidP="00C275A3">
            <w:pPr>
              <w:pStyle w:val="Hallgatokepzes"/>
            </w:pPr>
            <w:r>
              <w:t>border policing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Ákos Molnár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 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Presentation about the new law of offenses, changes from the previous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My purpose in writing the dissertation is to introduce the new law of offenses in relation to my abilities with carefully and scientific fastidiousness.</w:t>
      </w:r>
      <w:r>
        <w:rPr>
          <w:color w:val="000000"/>
          <w:sz w:val="24"/>
          <w:szCs w:val="24"/>
        </w:rPr>
        <w:br/>
        <w:t xml:space="preserve">The focus was placed on the new legal institutions, concepts, changes, and reasons for change.</w:t>
      </w:r>
      <w:r>
        <w:rPr>
          <w:color w:val="000000"/>
          <w:sz w:val="24"/>
          <w:szCs w:val="24"/>
        </w:rPr>
        <w:br/>
        <w:t xml:space="preserve">I would like to present the new legal institution of relapse, concepts changes, system of penalties, spot fines rules, the position of prosecutor and the new offense records.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12989">
    <w:multiLevelType w:val="hybridMultilevel"/>
    <w:lvl w:ilvl="0" w:tplc="34007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12989">
    <w:abstractNumId w:val="99212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463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