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ALEXANDER KASZA</w:t>
            </w:r>
          </w:p>
          <w:p w:rsidR="00C275A3" w:rsidRDefault="00A96AEC" w:rsidP="00C275A3">
            <w:pPr>
              <w:pStyle w:val="Hallgatokepzes"/>
            </w:pPr>
            <w:r>
              <w:t>Customs and excise administration</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Leslie Christian</w:t>
            </w:r>
          </w:p>
          <w:p w:rsidR="00DB4822" w:rsidRDefault="00DB4822" w:rsidP="00E11062">
            <w:pPr>
              <w:pStyle w:val="Konzulensek"/>
            </w:pPr>
            <w:r w:rsidRPr="00DB4822">
              <w:t>docent,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Distillate from - Spirits beyond Hungary's national beverage production, the EU's internal borders for the importation of excise rules, especially in light of the revolutionary change also private cooking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study of the Hungary national drink of brandy (brandy) on the production and the related rules about. The brandy production boring topic appear first round, but in 2010. provisions came into force in September, according to which individuals can cook at home distillate to a certain extent, tax-free, all of this puts a different light. The description of the relevant statutory provisions dissertation while much attention has been devoted to brandy production stages are described, as well as private cooking advantages / disadvantages of the present, and the effect of new regulations on the economy. I think that this work is both to the profession and the "lay" an interesting way to present the relevant rules and regulations.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989201">
    <w:multiLevelType w:val="hybridMultilevel"/>
    <w:lvl w:ilvl="0" w:tplc="141234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989201">
    <w:abstractNumId w:val="709892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78055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