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FERENC SAMU</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Visy</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Balázs Endrődi</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synthesis of conducting polymer/MWCNT array hibrid materials and the characterization of their thermoelectric properties.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thermoelectric materials the direct conversion of temperature gradient to voltage (Seebeck-effect) or the conversion of voltage to temperature gradient (Peltier-effect) can be achieved. Because of the unique properties of these materials they can be utilized for applications that harness these above-mentioned effects such as: heating/cooling or energy production.</w:t>
      </w:r>
      <w:r>
        <w:rPr>
          <w:color w:val="000000"/>
          <w:sz w:val="24"/>
          <w:szCs w:val="24"/>
        </w:rPr>
        <w:br/>
        <w:t xml:space="preserve">Nowadays two distinct pathways have emerged to improve the efficiency of these materials. The first one tailors new thermoelectric structures, while the second one fabricates new materials for this purpose. As the basis of this kind of research conducting polymers are perfect candidates, because they possess promising properties (both thermoelectric and physical). Their Seebeck-coefficient is high (of the order of mV/K) and their heat transfer coefficient is favourably low. Their application as thermoelectric materials is hindered only by their low specific electric conductivity. But this feature can be altered by doping (this changes the other two property, while these three are intertwined) or by fabricating nanocomposite materials.</w:t>
      </w:r>
      <w:r>
        <w:rPr>
          <w:color w:val="000000"/>
          <w:sz w:val="24"/>
          <w:szCs w:val="24"/>
        </w:rPr>
        <w:br/>
        <w:t xml:space="preserve">During our work we prepared composite materials of poly(3-hexyl-thiophene) (P3HT); Poly(3,4-ethylenedioxythiophene) (PEDOT) and a complex system consisting of Poly(3,4-ethylenedioxythiophene) and sodium polystyrene sulfonate (PEDOT:PSS) on highly ordered Multiwalled Carbon Nanotube (MWCNT) forest templates by different electrochemical methods.</w:t>
      </w:r>
      <w:r>
        <w:rPr>
          <w:color w:val="000000"/>
          <w:sz w:val="24"/>
          <w:szCs w:val="24"/>
        </w:rPr>
        <w:br/>
        <w:t xml:space="preserve">After the preparation we employed cyclic voltammetry for the electrochemical characterization of the hybrid materials. The structure of the hybrids was observed by Scanning Electron Microscopy (SEM) and by Raman Spectroscopy. These results proved the deposition of polymer on the individual strands of the MWCNT forests. The thermoelectric behaviour of conducting polymer/MWCNT nanocomposite materials was investigated through their Seebeck-coefficient and specific electrical conductivity.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50614">
    <w:multiLevelType w:val="hybridMultilevel"/>
    <w:lvl w:ilvl="0" w:tplc="32436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50614">
    <w:abstractNumId w:val="85650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653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