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VARGA</w:t>
            </w:r>
          </w:p>
          <w:p w:rsidR="00C275A3" w:rsidRDefault="00A96AEC" w:rsidP="00C275A3">
            <w:pPr>
              <w:pStyle w:val="Hallgatokepzes"/>
            </w:pPr>
            <w:r>
              <w:t>Chemist</w:t>
            </w:r>
            <w:r>
              <w:br/>
            </w:r>
            <w:r w:rsidR="00E77B23">
              <w:t>MSc,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Pálinkó</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Zita Csendes</w:t>
            </w:r>
          </w:p>
          <w:p w:rsidR="00DB4822" w:rsidRDefault="00DB4822" w:rsidP="00E11062">
            <w:pPr>
              <w:pStyle w:val="Konzulensek"/>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Covalently grafted, chloropropylated silica gel supported C-protected amino acid Mn(II) and Ni(II) complexes – syntheses, structural characterization and catalytic activity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Enzymes are the most efficient catalysts in Nature, both their activities and selectivities are outstanding, however, they only work under or close to the conditions of the living organism, therefore their use in the laboratory or industry is limited. Enzymes are homogeneous catalysts, therefore their recovery and recycling are also problematic.</w:t>
      </w:r>
    </w:p>
    <w:p>
      <w:pPr>
        <w:pBdr/>
        <w:spacing w:before="240" w:after="240" w:line="240" w:lineRule="auto"/>
        <w:ind w:left="0" w:right="0"/>
        <w:jc w:val="left"/>
      </w:pPr>
      <w:r>
        <w:rPr>
          <w:color w:val="000000"/>
          <w:sz w:val="24"/>
          <w:szCs w:val="24"/>
        </w:rPr>
        <w:t xml:space="preserve">A major way of catalytic research is the invention and preparation of materials having properties resembling those of the enzymes, and at the same time capable of working under wider range of conditions. This goal may be met in two ways: (i) the enzyme itself may be anchored onto a solid support - this way both the activity and the selectivity may be preserved or (ii) either the structural or functional model of the enzyme is immobilised on the support [1].</w:t>
      </w:r>
    </w:p>
    <w:p>
      <w:pPr>
        <w:pBdr/>
        <w:spacing w:before="240" w:after="240" w:line="240" w:lineRule="auto"/>
        <w:ind w:left="0" w:right="0"/>
        <w:jc w:val="left"/>
      </w:pPr>
      <w:r>
        <w:rPr>
          <w:color w:val="000000"/>
          <w:sz w:val="24"/>
          <w:szCs w:val="24"/>
        </w:rPr>
        <w:t xml:space="preserve">The goal of my experimental work is the synthesis and covalent immobilisation of superoxide dismutase (SOD) enzyme mimicking Mn(II)– and Ni(II)–C-protected amino acid (histidine, cystein and cystine) complexes on chloropropylated silica gel.</w:t>
      </w:r>
    </w:p>
    <w:p>
      <w:pPr>
        <w:pBdr/>
        <w:spacing w:before="240" w:after="240" w:line="240" w:lineRule="auto"/>
        <w:ind w:left="0" w:right="0"/>
        <w:jc w:val="left"/>
      </w:pPr>
      <w:r>
        <w:rPr>
          <w:color w:val="000000"/>
          <w:sz w:val="24"/>
          <w:szCs w:val="24"/>
        </w:rPr>
        <w:t xml:space="preserve">The structural features of the surface complexes was determined by mid/far IR and Raman spectroscopies, additionally, ESR and UV-Vis diffuse reflectance spectroscopies were used for the Mn(II)- and Ni(II)-containing materials, respectively. These spectroscopic studies revealed that the syntheses of the metal ion–amino acid complexes were successful in each case.</w:t>
      </w:r>
    </w:p>
    <w:p>
      <w:pPr>
        <w:pBdr/>
        <w:spacing w:before="240" w:after="240" w:line="240" w:lineRule="auto"/>
        <w:ind w:left="0" w:right="0"/>
        <w:jc w:val="left"/>
      </w:pPr>
      <w:r>
        <w:rPr>
          <w:color w:val="000000"/>
          <w:sz w:val="24"/>
          <w:szCs w:val="24"/>
        </w:rPr>
        <w:t xml:space="preserve">The SOD activities of the complexes were measured with the riboflavin-methionine-NBT test reaction introduced by Beauchamp and Fridovich [2]. The catalytic use of these materials has also been attempted in the oxidative transformations of cyclohexene under various circumstances. It has been found that each substance displayed catalytic activity.</w:t>
      </w:r>
    </w:p>
    <w:p>
      <w:pPr>
        <w:pBdr/>
        <w:spacing w:before="240" w:after="240" w:line="240" w:lineRule="auto"/>
        <w:ind w:left="0" w:right="0"/>
        <w:jc w:val="left"/>
      </w:pPr>
      <w:r>
        <w:rPr>
          <w:color w:val="000000"/>
          <w:sz w:val="24"/>
          <w:szCs w:val="24"/>
        </w:rPr>
        <w:t xml:space="preserve">[1] Kirby, A.J., Angew. Chem. Int. Ed. Engl. (35) 707-724 (1996)</w:t>
      </w:r>
    </w:p>
    <w:p>
      <w:pPr>
        <w:pBdr/>
        <w:spacing w:before="240" w:after="240" w:line="240" w:lineRule="auto"/>
        <w:ind w:left="0" w:right="0"/>
        <w:jc w:val="left"/>
      </w:pPr>
      <w:r>
        <w:rPr>
          <w:color w:val="000000"/>
          <w:sz w:val="24"/>
          <w:szCs w:val="24"/>
        </w:rPr>
        <w:t xml:space="preserve">[2] Beauchamp, C., Fridovich, I., Anal. Biochem. (44) 276-287 (1971)</w:t>
      </w:r>
    </w:p>
    <w:p>
      <w:pPr>
        <w:pBdr/>
        <w:spacing w:before="240" w:after="240" w:line="240" w:lineRule="auto"/>
        <w:ind w:left="0" w:right="0"/>
        <w:jc w:val="left"/>
      </w:pPr>
      <w:r>
        <w:rPr>
          <w:color w:val="000000"/>
          <w:sz w:val="24"/>
          <w:szCs w:val="24"/>
        </w:rPr>
        <w:t xml:space="preserve">Keywords: heterogeneous catalyst, IR spectroscopy, SOD activity, cyclohexene oxidation</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83634">
    <w:multiLevelType w:val="hybridMultilevel"/>
    <w:lvl w:ilvl="0" w:tplc="57842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83634">
    <w:abstractNumId w:val="365836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0492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