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KUTUS BENCE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Sipos Pál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Peintler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Erősen lúgos oldatokban képződő kalcium-heptaglükonát komplexek összetétele és egyensúlyai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a kalcium(II)- és heptaglükonátionok (Hpgl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) között lejátszódó komplexképződést vizsgáltuk erősen lúgos oldatokban (11 &lt; pH &lt; 13). Erről a rendszerről kevés irodalmi adat áll rendelkezésre, más rokon ligandumokkal (glükonát, izoszacharinát) kapcsolatos vizsgálatok alapján megfelelően magas pH-jú oldatokban egymagvú részecskék képződése lenne várható.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rendszer egyensúlyi sajátságait először potenciometriás titrálások segítségével tanulmányoztuk. Első lépésben megvizsgáltuk a ligandum deprotonálódásának mértékét. Az adatsorokat a PSEQUAD programmal értékeltük. A titrálási görbék alapján a Hpgl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 valamely OH-csoportja deprotonálódik pH ~ 12 felett. A számolás eredményeként a savi állandóra logK</w:t>
      </w:r>
      <w:r>
        <w:rPr>
          <w:color w:val="000000"/>
          <w:position w:val="-4"/>
          <w:sz w:val="21"/>
          <w:szCs w:val="21"/>
          <w:vertAlign w:val="subscript"/>
        </w:rPr>
        <w:t xml:space="preserve">s</w:t>
      </w:r>
      <w:r>
        <w:rPr>
          <w:color w:val="000000"/>
          <w:sz w:val="24"/>
          <w:szCs w:val="24"/>
        </w:rPr>
        <w:t xml:space="preserve"> = –13,41 ± 0,01 adódott. Ezt követően a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-okat is tartalmazó oldatokban azt tapasztaltuk, hogy a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és Hpgl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 koncentrációjának növelése jelentősen megváltoztatja a potenciált a fémionokat nem tartalmazó rendszerekben mért értékekhez képest. A számítások eredményei alapján kiválasztott modell szerint egy Ca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Hpgl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(OH)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összetételű domináns komplex képződése mellett egy CaHpgl(OH) összetételű részecske jelenléte is valószínűsíthető. A stabilitási állandók: logβ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 = 14,09 ± 0,01 a hárommagvú, és logβ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= 3,41 ± 0,01 az egymagvú komplexre.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Ca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Hpgl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(OH)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kiemelkedő stabilitással bír, képződése pedig jelentős részecskeszám-csökkenéssel jár, amit fagyáspontcsökkenés (ΔT</w:t>
      </w:r>
      <w:r>
        <w:rPr>
          <w:color w:val="000000"/>
          <w:position w:val="-4"/>
          <w:sz w:val="21"/>
          <w:szCs w:val="21"/>
          <w:vertAlign w:val="subscript"/>
        </w:rPr>
        <w:t xml:space="preserve">m</w:t>
      </w:r>
      <w:r>
        <w:rPr>
          <w:color w:val="000000"/>
          <w:sz w:val="24"/>
          <w:szCs w:val="24"/>
        </w:rPr>
        <w:t xml:space="preserve">) mérésével bizonyítottunk: az általunk vizsgált oldatokban jóval kisebb ΔT</w:t>
      </w:r>
      <w:r>
        <w:rPr>
          <w:color w:val="000000"/>
          <w:position w:val="-4"/>
          <w:sz w:val="21"/>
          <w:szCs w:val="21"/>
          <w:vertAlign w:val="subscript"/>
        </w:rPr>
        <w:t xml:space="preserve">m</w:t>
      </w:r>
      <w:r>
        <w:rPr>
          <w:color w:val="000000"/>
          <w:sz w:val="24"/>
          <w:szCs w:val="24"/>
        </w:rPr>
        <w:t xml:space="preserve"> értéke, mint amit akkor kapnánk, ha nem lennének asszociációs folyamatok. Ugyanakkor, a töltés nélküli komplexek képződésük során nagy moláris fajlagos vezetésű OH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-okat kötnek meg, ezért keletkezésük jelentős vezetéscsökkenéssel kell, hogy járjon. Ezt konduktometriás titrálásokkal igazoltuk.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Oldatszerkezeti vizsgálatokat is végeztünk.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H-NMR-mérések alapján erősen lúgos közegben komplexképződés játszódik le, és valószínűleg a karboxilátion melletti szénatom hidroxilcsoportja vesz részt a koordinációban.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921395">
    <w:multiLevelType w:val="hybridMultilevel"/>
    <w:lvl w:ilvl="0" w:tplc="254929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921395">
    <w:abstractNumId w:val="379213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23143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