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KUTUS</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Sipos</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Dr. Gábor Peintler</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Composition and Equilibria of Calcium-Heptagluconate Complexes Forming in Strongly Alkaline Solutions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complex formation between calcium(II)- and heptagluconate (Hpgl</w:t>
      </w:r>
      <w:r>
        <w:rPr>
          <w:color w:val="000000"/>
          <w:position w:val="4"/>
          <w:sz w:val="21"/>
          <w:szCs w:val="21"/>
          <w:vertAlign w:val="superscript"/>
        </w:rPr>
        <w:t xml:space="preserve">–</w:t>
      </w:r>
      <w:r>
        <w:rPr>
          <w:color w:val="000000"/>
          <w:sz w:val="24"/>
          <w:szCs w:val="24"/>
        </w:rPr>
        <w:t xml:space="preserve">) ions has been studied in strongly alkaline solutions (11 &lt; pH &lt; 13). Only a few information has been found about this reaction in the literature, but interactions between Ca</w:t>
      </w:r>
      <w:r>
        <w:rPr>
          <w:color w:val="000000"/>
          <w:position w:val="4"/>
          <w:sz w:val="21"/>
          <w:szCs w:val="21"/>
          <w:vertAlign w:val="superscript"/>
        </w:rPr>
        <w:t xml:space="preserve">2+</w:t>
      </w:r>
      <w:r>
        <w:rPr>
          <w:color w:val="000000"/>
          <w:sz w:val="24"/>
          <w:szCs w:val="24"/>
        </w:rPr>
        <w:t xml:space="preserve"> and other ligands (e.g., gluconate, isosaccharinate) have been investigated more thoroughly. These results suggest that the formation of species with 1:1 stoichiometry is the most probable, almost exclusive at higher pH.</w:t>
      </w:r>
    </w:p>
    <w:p>
      <w:pPr>
        <w:pBdr/>
        <w:spacing w:before="240" w:after="240" w:line="240" w:lineRule="auto"/>
        <w:ind w:left="0" w:right="0"/>
        <w:jc w:val="left"/>
      </w:pPr>
      <w:r>
        <w:rPr>
          <w:color w:val="000000"/>
          <w:sz w:val="24"/>
          <w:szCs w:val="24"/>
        </w:rPr>
        <w:t xml:space="preserve">Initially, potentiometric titrations were used to explore the properties of the system. The deprotonation of heptagluconate has been investigated, and the measured data were evaluated by the PSEQUAD program. The titration curves indicated the deprotonation of one among the six hydroxyl groups of Hpgl</w:t>
      </w:r>
      <w:r>
        <w:rPr>
          <w:color w:val="000000"/>
          <w:position w:val="4"/>
          <w:sz w:val="21"/>
          <w:szCs w:val="21"/>
          <w:vertAlign w:val="superscript"/>
        </w:rPr>
        <w:t xml:space="preserve">–</w:t>
      </w:r>
      <w:r>
        <w:rPr>
          <w:color w:val="000000"/>
          <w:sz w:val="24"/>
          <w:szCs w:val="24"/>
        </w:rPr>
        <w:t xml:space="preserve"> above pH ~ 12. Evaluation of the data led to the acidity constant of logK</w:t>
      </w:r>
      <w:r>
        <w:rPr>
          <w:color w:val="000000"/>
          <w:position w:val="-4"/>
          <w:sz w:val="21"/>
          <w:szCs w:val="21"/>
          <w:vertAlign w:val="subscript"/>
        </w:rPr>
        <w:t xml:space="preserve">s</w:t>
      </w:r>
      <w:r>
        <w:rPr>
          <w:color w:val="000000"/>
          <w:sz w:val="24"/>
          <w:szCs w:val="24"/>
        </w:rPr>
        <w:t xml:space="preserve"> = –13.41 ± 0.01. In solutions containing additional Ca</w:t>
      </w:r>
      <w:r>
        <w:rPr>
          <w:color w:val="000000"/>
          <w:position w:val="4"/>
          <w:sz w:val="21"/>
          <w:szCs w:val="21"/>
          <w:vertAlign w:val="superscript"/>
        </w:rPr>
        <w:t xml:space="preserve">2+</w:t>
      </w:r>
      <w:r>
        <w:rPr>
          <w:color w:val="000000"/>
          <w:sz w:val="24"/>
          <w:szCs w:val="24"/>
        </w:rPr>
        <w:t xml:space="preserve">-ion, the increase of total concentrations of either Ca</w:t>
      </w:r>
      <w:r>
        <w:rPr>
          <w:color w:val="000000"/>
          <w:position w:val="4"/>
          <w:sz w:val="21"/>
          <w:szCs w:val="21"/>
          <w:vertAlign w:val="superscript"/>
        </w:rPr>
        <w:t xml:space="preserve">2+</w:t>
      </w:r>
      <w:r>
        <w:rPr>
          <w:color w:val="000000"/>
          <w:sz w:val="24"/>
          <w:szCs w:val="24"/>
        </w:rPr>
        <w:t xml:space="preserve"> or Hpgl</w:t>
      </w:r>
      <w:r>
        <w:rPr>
          <w:color w:val="000000"/>
          <w:position w:val="4"/>
          <w:sz w:val="21"/>
          <w:szCs w:val="21"/>
          <w:vertAlign w:val="superscript"/>
        </w:rPr>
        <w:t xml:space="preserve">–</w:t>
      </w:r>
      <w:r>
        <w:rPr>
          <w:color w:val="000000"/>
          <w:sz w:val="24"/>
          <w:szCs w:val="24"/>
        </w:rPr>
        <w:t xml:space="preserve"> significantly modified the potential comparing to the measured values in systems not containing metal ion. According to the best fitted model, a trinuclear complex with the composition of Ca</w:t>
      </w:r>
      <w:r>
        <w:rPr>
          <w:color w:val="000000"/>
          <w:position w:val="-4"/>
          <w:sz w:val="21"/>
          <w:szCs w:val="21"/>
          <w:vertAlign w:val="subscript"/>
        </w:rPr>
        <w:t xml:space="preserve">3</w:t>
      </w:r>
      <w:r>
        <w:rPr>
          <w:color w:val="000000"/>
          <w:sz w:val="24"/>
          <w:szCs w:val="24"/>
        </w:rPr>
        <w:t xml:space="preserve">Hpgl</w:t>
      </w:r>
      <w:r>
        <w:rPr>
          <w:color w:val="000000"/>
          <w:position w:val="-4"/>
          <w:sz w:val="21"/>
          <w:szCs w:val="21"/>
          <w:vertAlign w:val="subscript"/>
        </w:rPr>
        <w:t xml:space="preserve">2</w:t>
      </w:r>
      <w:r>
        <w:rPr>
          <w:color w:val="000000"/>
          <w:sz w:val="24"/>
          <w:szCs w:val="24"/>
        </w:rPr>
        <w:t xml:space="preserve">(OH)</w:t>
      </w:r>
      <w:r>
        <w:rPr>
          <w:color w:val="000000"/>
          <w:position w:val="-4"/>
          <w:sz w:val="21"/>
          <w:szCs w:val="21"/>
          <w:vertAlign w:val="subscript"/>
        </w:rPr>
        <w:t xml:space="preserve">4</w:t>
      </w:r>
      <w:r>
        <w:rPr>
          <w:color w:val="000000"/>
          <w:sz w:val="24"/>
          <w:szCs w:val="24"/>
        </w:rPr>
        <w:t xml:space="preserve"> forms dominantly. The presence of another but simple species (CaHpgl(OH)) is also detectable. The computed stability constants are logβ</w:t>
      </w:r>
      <w:r>
        <w:rPr>
          <w:color w:val="000000"/>
          <w:position w:val="-4"/>
          <w:sz w:val="21"/>
          <w:szCs w:val="21"/>
          <w:vertAlign w:val="subscript"/>
        </w:rPr>
        <w:t xml:space="preserve">1</w:t>
      </w:r>
      <w:r>
        <w:rPr>
          <w:color w:val="000000"/>
          <w:sz w:val="24"/>
          <w:szCs w:val="24"/>
        </w:rPr>
        <w:t xml:space="preserve"> = 14.09 ± 0.01 for the trinuclear complex and logβ</w:t>
      </w:r>
      <w:r>
        <w:rPr>
          <w:color w:val="000000"/>
          <w:position w:val="-4"/>
          <w:sz w:val="21"/>
          <w:szCs w:val="21"/>
          <w:vertAlign w:val="subscript"/>
        </w:rPr>
        <w:t xml:space="preserve">2</w:t>
      </w:r>
      <w:r>
        <w:rPr>
          <w:color w:val="000000"/>
          <w:sz w:val="24"/>
          <w:szCs w:val="24"/>
        </w:rPr>
        <w:t xml:space="preserve"> = 3.41 ± 0.01 for the mononuclear one.</w:t>
      </w:r>
    </w:p>
    <w:p>
      <w:pPr>
        <w:pBdr/>
        <w:spacing w:before="240" w:after="240" w:line="240" w:lineRule="auto"/>
        <w:ind w:left="0" w:right="0"/>
        <w:jc w:val="left"/>
      </w:pPr>
      <w:r>
        <w:rPr>
          <w:color w:val="000000"/>
          <w:sz w:val="24"/>
          <w:szCs w:val="24"/>
        </w:rPr>
        <w:t xml:space="preserve">The Ca</w:t>
      </w:r>
      <w:r>
        <w:rPr>
          <w:color w:val="000000"/>
          <w:position w:val="-4"/>
          <w:sz w:val="21"/>
          <w:szCs w:val="21"/>
          <w:vertAlign w:val="subscript"/>
        </w:rPr>
        <w:t xml:space="preserve">3</w:t>
      </w:r>
      <w:r>
        <w:rPr>
          <w:color w:val="000000"/>
          <w:sz w:val="24"/>
          <w:szCs w:val="24"/>
        </w:rPr>
        <w:t xml:space="preserve">Hpgl</w:t>
      </w:r>
      <w:r>
        <w:rPr>
          <w:color w:val="000000"/>
          <w:position w:val="-4"/>
          <w:sz w:val="21"/>
          <w:szCs w:val="21"/>
          <w:vertAlign w:val="subscript"/>
        </w:rPr>
        <w:t xml:space="preserve">2</w:t>
      </w:r>
      <w:r>
        <w:rPr>
          <w:color w:val="000000"/>
          <w:sz w:val="24"/>
          <w:szCs w:val="24"/>
        </w:rPr>
        <w:t xml:space="preserve">(OH)</w:t>
      </w:r>
      <w:r>
        <w:rPr>
          <w:color w:val="000000"/>
          <w:position w:val="-4"/>
          <w:sz w:val="21"/>
          <w:szCs w:val="21"/>
          <w:vertAlign w:val="subscript"/>
        </w:rPr>
        <w:t xml:space="preserve">4</w:t>
      </w:r>
      <w:r>
        <w:rPr>
          <w:color w:val="000000"/>
          <w:sz w:val="24"/>
          <w:szCs w:val="24"/>
        </w:rPr>
        <w:t xml:space="preserve"> is surprisingly stable, and its formation causes significant decrease on the number of species. Freezing-point depression was determined to prove this effect. The freezing-point change was much smaller in the real solutions than its expected value without any association. Moreover, OH</w:t>
      </w:r>
      <w:r>
        <w:rPr>
          <w:color w:val="000000"/>
          <w:position w:val="4"/>
          <w:sz w:val="21"/>
          <w:szCs w:val="21"/>
          <w:vertAlign w:val="superscript"/>
        </w:rPr>
        <w:t xml:space="preserve">–</w:t>
      </w:r>
      <w:r>
        <w:rPr>
          <w:color w:val="000000"/>
          <w:sz w:val="24"/>
          <w:szCs w:val="24"/>
        </w:rPr>
        <w:t xml:space="preserve"> has large conductivity, so the formation of uncharged complexes should cause significant decrease in conductivity. This property has been strengthened by conductometric titrations.</w:t>
      </w:r>
    </w:p>
    <w:p>
      <w:pPr>
        <w:pBdr/>
        <w:spacing w:before="240" w:after="240" w:line="240" w:lineRule="auto"/>
        <w:ind w:left="0" w:right="0"/>
        <w:jc w:val="left"/>
      </w:pPr>
      <w:r>
        <w:rPr>
          <w:color w:val="000000"/>
          <w:sz w:val="24"/>
          <w:szCs w:val="24"/>
        </w:rPr>
        <w:t xml:space="preserve">The structure of the complexes has also been studied. </w:t>
      </w:r>
      <w:r>
        <w:rPr>
          <w:color w:val="000000"/>
          <w:position w:val="4"/>
          <w:sz w:val="21"/>
          <w:szCs w:val="21"/>
          <w:vertAlign w:val="superscript"/>
        </w:rPr>
        <w:t xml:space="preserve">1</w:t>
      </w:r>
      <w:r>
        <w:rPr>
          <w:color w:val="000000"/>
          <w:sz w:val="24"/>
          <w:szCs w:val="24"/>
        </w:rPr>
        <w:t xml:space="preserve">H-NMR spectra supported the complex formation in strongly alkaline solutions, as well, indicating that probably the hydroxil group next to the carboxylate ion takes part in the coordination.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27900">
    <w:multiLevelType w:val="hybridMultilevel"/>
    <w:lvl w:ilvl="0" w:tplc="47788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27900">
    <w:abstractNumId w:val="63527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791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