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CSIPAK BRIGITTA</w:t>
            </w:r>
          </w:p>
          <w:p w:rsidR="00C275A3" w:rsidRDefault="00A96AEC" w:rsidP="00C275A3">
            <w:pPr>
              <w:pStyle w:val="Hallgatokepzes"/>
            </w:pPr>
            <w:r>
              <w:t>Vegyész</w:t>
            </w:r>
            <w:r>
              <w:br/>
            </w:r>
            <w:r w:rsidR="00E77B23">
              <w:t>MSc,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Gyurcsik Béla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SZTE TTIK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Cinkujj fehérjék tervezése, előállítása és tulajdonságaik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cinkujj fehérjék – melyek a bennük található Zn</w:t>
      </w:r>
      <w:r>
        <w:rPr>
          <w:color w:val="000000"/>
          <w:position w:val="4"/>
          <w:sz w:val="21"/>
          <w:szCs w:val="21"/>
          <w:vertAlign w:val="superscript"/>
        </w:rPr>
        <w:t xml:space="preserve">2+</w:t>
      </w:r>
      <w:r>
        <w:rPr>
          <w:color w:val="000000"/>
          <w:sz w:val="24"/>
          <w:szCs w:val="24"/>
        </w:rPr>
        <w:t xml:space="preserve">-ion által koordinatív kötéseken keresztül kialakított ujjszerű szerkezetről kapták a nevüket - az élő szervezetekben fontos szerepet töltenek be a gének aktivációjában és inaktivációjában. Mindez annak köszönhető, hogy képesek a szervezetben előforduló nukleinsavakkal specifikus kölcsönhatásba lépni. Egy kiválasztott DNS szekvenciát felismerő fehérjék mesterségesen is előállíthatók. A tervezéshez ma számos, bárki által elérhető program nyújt segítséget (pl.: Zinc Finger Tools).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Tudományos Diákköri Dolgozatomban két ilyen metalloprotein előállítását végeztem el meglévő génjük felhasználásával bioszintézissel, majd ezeket affinitás kromatográfiás módszerrel megtisztítottam, és pontos koncentrációjukat meghatároztam UV-Vis spektrometria segítségével (Bradford-módszer). A fehérjék és a DNS kölcsönhatását sáveltolódás kísérletekkel vizsgáltam agaróz gélen, továbbá a Ni</w:t>
      </w:r>
      <w:r>
        <w:rPr>
          <w:color w:val="000000"/>
          <w:position w:val="4"/>
          <w:sz w:val="21"/>
          <w:szCs w:val="21"/>
          <w:vertAlign w:val="superscript"/>
        </w:rPr>
        <w:t xml:space="preserve">2+</w:t>
      </w:r>
      <w:r>
        <w:rPr>
          <w:color w:val="000000"/>
          <w:sz w:val="24"/>
          <w:szCs w:val="24"/>
        </w:rPr>
        <w:t xml:space="preserve">-ionok hatását poliakrilamid gélelektroforézissel követtem nyomon.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4368381">
    <w:multiLevelType w:val="hybridMultilevel"/>
    <w:lvl w:ilvl="0" w:tplc="5063090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4368381">
    <w:abstractNumId w:val="3436838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2723878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