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CSIPAK</w:t>
            </w:r>
          </w:p>
          <w:p w:rsidR="00C275A3" w:rsidRDefault="00A96AEC" w:rsidP="00C275A3">
            <w:pPr>
              <w:pStyle w:val="Hallgatokepzes"/>
            </w:pPr>
            <w:r>
              <w:t>Chemistry</w:t>
            </w:r>
            <w:r>
              <w:br/>
            </w:r>
            <w:r w:rsidR="00E77B23">
              <w:t>MSc,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Gyurcsik Dr.</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design and expression of zinc-finger proteins, and the examination of their properties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zinc-finger proteins – which are named after their finger-like structure, caused by a Zn</w:t>
      </w:r>
      <w:r>
        <w:rPr>
          <w:color w:val="000000"/>
          <w:position w:val="4"/>
          <w:sz w:val="21"/>
          <w:szCs w:val="21"/>
          <w:vertAlign w:val="superscript"/>
        </w:rPr>
        <w:t xml:space="preserve">2+</w:t>
      </w:r>
      <w:r>
        <w:rPr>
          <w:color w:val="000000"/>
          <w:sz w:val="24"/>
          <w:szCs w:val="24"/>
        </w:rPr>
        <w:t xml:space="preserve">-coordination – play an important role in gene activation and inactivation in living organisms. This function originates from their strong and specific interactions with nucleic acids. These proteins can also be produced artificially, designed for a desired target sequence, using programs available for everyone (for example Zinc Finger Tools).</w:t>
      </w:r>
    </w:p>
    <w:p>
      <w:pPr>
        <w:pBdr/>
        <w:spacing w:before="240" w:after="240" w:line="240" w:lineRule="auto"/>
        <w:ind w:left="0" w:right="0"/>
        <w:jc w:val="left"/>
      </w:pPr>
      <w:r>
        <w:rPr>
          <w:color w:val="000000"/>
          <w:sz w:val="24"/>
          <w:szCs w:val="24"/>
        </w:rPr>
        <w:t xml:space="preserve">In this study my aim was the production of two zinc-finger proteins by biosynthesis using their genes. Then the purification was performed by affinity chromatography, and the precise determination of the concentration using UV-Vis spectroscopy (Bradford – method). The interaction between the protein and the target DNA sequence was investigated with gel-mobility shift arrays. Furthermore, we incubated the proteins with Ni</w:t>
      </w:r>
      <w:r>
        <w:rPr>
          <w:color w:val="000000"/>
          <w:position w:val="4"/>
          <w:sz w:val="21"/>
          <w:szCs w:val="21"/>
          <w:vertAlign w:val="superscript"/>
        </w:rPr>
        <w:t xml:space="preserve">2+</w:t>
      </w:r>
      <w:r>
        <w:rPr>
          <w:color w:val="000000"/>
          <w:sz w:val="24"/>
          <w:szCs w:val="24"/>
        </w:rPr>
        <w:t xml:space="preserve"> -ion containing solution to check if hydrolytic process occurs. This was followed by polyacrylamide gel electrophoresis.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90830">
    <w:multiLevelType w:val="hybridMultilevel"/>
    <w:lvl w:ilvl="0" w:tplc="54454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90830">
    <w:abstractNumId w:val="661908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63889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