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SCHILLI</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Gyurcsik</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Cytotoxic properties of N-ColE7 metallonuclease mutants</w:t>
      </w:r>
      <w:r>
        <w:t xml:space="preserve"/>
      </w:r>
    </w:p>
    <w:p w:rsidR="00D71DF5" w:rsidRDefault="00D71DF5" w:rsidP="00AD2602">
      <w:pPr>
        <w:jc w:val="both"/>
      </w:pPr>
    </w:p>
    <w:p>
      <w:pPr>
        <w:pBdr/>
        <w:spacing w:before="240" w:after="240" w:line="240" w:lineRule="auto"/>
        <w:ind w:left="225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The monogenetic diseases can only be healed by the correction of the errors in DNA. One way could be to cleave the DNA near the incorrect sequence, which makes the cell to detect the problem, and so the cell can correct the damage and the error together in the presence of an appropriate template. For this purpose zinc-finger nucleases have been designed, but they were found to be citotoxic. Therefore, our research group aims to design a secure control mechanism in a novel zinc-finger nuclease applying the nuclease domain of colicin E7 (NColE7). This molecule can be regulated allosterically: the C-terminal and N-terminal ends of the protein have to be close in space to each other in order to possess nuclease activity. When creating such an artificial nuclease it is necessary to exactly know which parts of the nuclease protein should be retained in order to obtain a controlled active nuclease. Therefore, we examined the role of the 25-residue long N-terminal loop concerning its interactions that may be strong enough to affect the activity. Firstly, three residues were selected for mutation based on earlier quantum-chemical calculations and crystal structures related to NColE7. Thereafter the genes of the alanine mutants were prepared. The nuclease activity of the new proteins caused difficulties already in the phase of cloning of the genes in bacterial cultures. Therefore, the mutant nucleases were co-expressed with their natural protecting immunity proteins. The immunity protein was then removed from to study their properties.</w:t>
      </w:r>
    </w:p>
    <w:p>
      <w:pPr>
        <w:pBdr/>
        <w:spacing w:before="240" w:after="240" w:line="240" w:lineRule="auto"/>
        <w:ind w:left="0" w:right="0"/>
        <w:jc w:val="left"/>
      </w:pPr>
      <w:r>
        <w:rPr>
          <w:color w:val="000000"/>
          <w:sz w:val="24"/>
          <w:szCs w:val="24"/>
        </w:rPr>
        <w:t xml:space="preserve">Keywords: artificial metallonuclease, nuclease activity, immunity protein, colicin E7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45009">
    <w:multiLevelType w:val="hybridMultilevel"/>
    <w:lvl w:ilvl="0" w:tplc="90441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45009">
    <w:abstractNumId w:val="93745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932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