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KOZMÉR ZSUZSANNA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Alapi Tünde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 Eszter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Wojnárovits László</w:t>
            </w:r>
          </w:p>
          <w:p w:rsidR="00DB4822" w:rsidRDefault="00DB4822" w:rsidP="00E11062">
            <w:pPr>
              <w:pStyle w:val="Konzulensek"/>
            </w:pPr>
            <w:r w:rsidRPr="00DB4822">
              <w:t>igazgató,  MTA Energiatudományi Kutatóközpont, Izotópkutató Intézet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reaktív köztitermékek szerepe fenol vizes oldatának vákuum-ultraibolya fotolízisében és γ-radiolízisében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Vizek szerves szennyezőinek eltávolítására alkalmas a vákuum-ultraibolya (VUV) és gamma (γ) fotonokkal történő megvilágítás, amely során a szennyezők hatékonyan és adalékanyagok hozzáadása nélkül lebonthatók. Ezen eljárásokat alkalmazva a célvegyületek mineralizációja szabad gyökös (hidroxilgyök (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OH), hidrogéngyök/hidratált elektron (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H/e</w:t>
      </w:r>
      <w:r>
        <w:rPr>
          <w:color w:val="000000"/>
          <w:position w:val="-4"/>
          <w:sz w:val="21"/>
          <w:szCs w:val="21"/>
          <w:vertAlign w:val="subscript"/>
        </w:rPr>
        <w:t xml:space="preserve">aq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), hidroperoxilgyök/szuperoxid gyökion (HO</w:t>
      </w:r>
      <w:r>
        <w:rPr>
          <w:color w:val="000000"/>
          <w:position w:val="-3"/>
          <w:sz w:val="18"/>
          <w:szCs w:val="18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</w:t>
      </w:r>
      <w:r>
        <w:rPr>
          <w:color w:val="000000"/>
          <w:sz w:val="24"/>
          <w:szCs w:val="24"/>
        </w:rPr>
        <w:t xml:space="preserve">/O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•-</w:t>
      </w:r>
      <w:r>
        <w:rPr>
          <w:color w:val="000000"/>
          <w:sz w:val="24"/>
          <w:szCs w:val="24"/>
        </w:rPr>
        <w:t xml:space="preserve">) stb.) folyamatokon keresztül megy végbe. A bontási folyamatok optimalizálásához szükséges a mechanizmusok pontos ismerete, így a kevésbé tanulmányozott, kisebb reaktivitású gyökök szerepének megismerése. Kutatásaink ezért arra irányultak, hogy változtatva a reakciókörülményeket befolyásoljuk a bontás gyökkészletét, és megfigyeljük annak hatását egy egyszerű szerkezetű modellvegyület, a fenol vizes oldatának VUV-fotolízisére (Xe excimer lámpa: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→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H és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OH) és γ-radiolízisére (</w:t>
      </w:r>
      <w:r>
        <w:rPr>
          <w:color w:val="000000"/>
          <w:position w:val="4"/>
          <w:sz w:val="21"/>
          <w:szCs w:val="21"/>
          <w:vertAlign w:val="superscript"/>
        </w:rPr>
        <w:t xml:space="preserve">60</w:t>
      </w:r>
      <w:r>
        <w:rPr>
          <w:color w:val="000000"/>
          <w:sz w:val="24"/>
          <w:szCs w:val="24"/>
        </w:rPr>
        <w:t xml:space="preserve">Co-forrás: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→ e</w:t>
      </w:r>
      <w:r>
        <w:rPr>
          <w:color w:val="000000"/>
          <w:position w:val="-4"/>
          <w:sz w:val="21"/>
          <w:szCs w:val="21"/>
          <w:vertAlign w:val="subscript"/>
        </w:rPr>
        <w:t xml:space="preserve">aq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 és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során 10</w:t>
      </w:r>
      <w:r>
        <w:rPr>
          <w:color w:val="000000"/>
          <w:position w:val="4"/>
          <w:sz w:val="21"/>
          <w:szCs w:val="21"/>
          <w:vertAlign w:val="superscript"/>
        </w:rPr>
        <w:t xml:space="preserve">-4</w:t>
      </w:r>
      <w:r>
        <w:rPr>
          <w:color w:val="000000"/>
          <w:sz w:val="24"/>
          <w:szCs w:val="24"/>
        </w:rPr>
        <w:t xml:space="preserve"> mol dm</w:t>
      </w:r>
      <w:r>
        <w:rPr>
          <w:color w:val="000000"/>
          <w:position w:val="4"/>
          <w:sz w:val="21"/>
          <w:szCs w:val="21"/>
          <w:vertAlign w:val="superscript"/>
        </w:rPr>
        <w:t xml:space="preserve">-3</w:t>
      </w:r>
      <w:r>
        <w:rPr>
          <w:color w:val="000000"/>
          <w:sz w:val="24"/>
          <w:szCs w:val="24"/>
        </w:rPr>
        <w:t xml:space="preserve"> koncentrációjú vizes fenololdatokat sugároztunk be VUV-, illetve γ-fotonokkal, különböző oldott gázok (N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jelenlétében, illetve 0,50 mol dm</w:t>
      </w:r>
      <w:r>
        <w:rPr>
          <w:color w:val="000000"/>
          <w:position w:val="4"/>
          <w:sz w:val="21"/>
          <w:szCs w:val="21"/>
          <w:vertAlign w:val="superscript"/>
        </w:rPr>
        <w:t xml:space="preserve">-3</w:t>
      </w:r>
      <w:r>
        <w:rPr>
          <w:color w:val="000000"/>
          <w:sz w:val="24"/>
          <w:szCs w:val="24"/>
        </w:rPr>
        <w:t xml:space="preserve"> terc-butanol, mint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OH-fogó vagy 0,05 mol dm</w:t>
      </w:r>
      <w:r>
        <w:rPr>
          <w:color w:val="000000"/>
          <w:position w:val="4"/>
          <w:sz w:val="21"/>
          <w:szCs w:val="21"/>
          <w:vertAlign w:val="superscript"/>
        </w:rPr>
        <w:t xml:space="preserve">-3</w:t>
      </w:r>
      <w:r>
        <w:rPr>
          <w:color w:val="000000"/>
          <w:sz w:val="24"/>
          <w:szCs w:val="24"/>
        </w:rPr>
        <w:t xml:space="preserve"> hangyasav vagy Na-formiát, mint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OH-transzfer anyagok hozzáadásával. A fenol bomlását HPLC-s elválasztással követtük. A képződő reaktív oxigéntartalmú gyökök (ROS) reakcióiból származó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koncentrációjából következtethetünk a ROS koncentrációjára, ezért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képződését Cu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-dimetilfenantrolin redukcióján alapuló módszerrel spektrofotometriásan mértük.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Oxigénmentes oldatban a fenol bomlásáért a vízből képződő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OH-ök, H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-ök, illetve e</w:t>
      </w:r>
      <w:r>
        <w:rPr>
          <w:color w:val="000000"/>
          <w:position w:val="-4"/>
          <w:sz w:val="21"/>
          <w:szCs w:val="21"/>
          <w:vertAlign w:val="subscript"/>
        </w:rPr>
        <w:t xml:space="preserve">aq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-ok felelősek. A fenol bomlási sebessége (r) 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helyett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–t alkalmazva nagyobb volt, mivel ekkor megnő a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 koncentráció, a redukáló típusú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H/e</w:t>
      </w:r>
      <w:r>
        <w:rPr>
          <w:color w:val="000000"/>
          <w:position w:val="-4"/>
          <w:sz w:val="21"/>
          <w:szCs w:val="21"/>
          <w:vertAlign w:val="subscript"/>
        </w:rPr>
        <w:t xml:space="preserve">aq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-ok oxidáló típusú HO</w:t>
      </w:r>
      <w:r>
        <w:rPr>
          <w:color w:val="000000"/>
          <w:position w:val="-3"/>
          <w:sz w:val="18"/>
          <w:szCs w:val="18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</w:t>
      </w:r>
      <w:r>
        <w:rPr>
          <w:color w:val="000000"/>
          <w:sz w:val="24"/>
          <w:szCs w:val="24"/>
        </w:rPr>
        <w:t xml:space="preserve">/O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•-</w:t>
      </w:r>
      <w:r>
        <w:rPr>
          <w:color w:val="000000"/>
          <w:sz w:val="24"/>
          <w:szCs w:val="24"/>
        </w:rPr>
        <w:t xml:space="preserve">-okká alakulnak, illetve mivel oldott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hatására a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OH reakcióiban keletkező ciklohexadienil-gyökök peroxigyökökké alakulnak, megakadályozva ezzel az esetleges visszaalakulást.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Adalékanyagok jelenlétében az r lecsökkent. Oxigénmentes mintákban a túlsúlyban levő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H/e</w:t>
      </w:r>
      <w:r>
        <w:rPr>
          <w:color w:val="000000"/>
          <w:position w:val="-4"/>
          <w:sz w:val="21"/>
          <w:szCs w:val="21"/>
          <w:vertAlign w:val="subscript"/>
        </w:rPr>
        <w:t xml:space="preserve">aq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-ok járulhatnak hozzá mérsékelt módon a bomláshoz, melyek közül a </w:t>
      </w:r>
      <w:r>
        <w:rPr>
          <w:color w:val="000000"/>
          <w:position w:val="4"/>
          <w:sz w:val="21"/>
          <w:szCs w:val="21"/>
          <w:vertAlign w:val="superscript"/>
        </w:rPr>
        <w:t xml:space="preserve">•</w:t>
      </w:r>
      <w:r>
        <w:rPr>
          <w:color w:val="000000"/>
          <w:sz w:val="24"/>
          <w:szCs w:val="24"/>
        </w:rPr>
        <w:t xml:space="preserve">H-ök hatása a jelentősebb. Az oxigén jelenlétében képződő HO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</w:t>
      </w:r>
      <w:r>
        <w:rPr>
          <w:color w:val="000000"/>
          <w:sz w:val="24"/>
          <w:szCs w:val="24"/>
        </w:rPr>
        <w:t xml:space="preserve">/O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•-</w:t>
      </w:r>
      <w:r>
        <w:rPr>
          <w:color w:val="000000"/>
          <w:sz w:val="24"/>
          <w:szCs w:val="24"/>
        </w:rPr>
        <w:t xml:space="preserve">-ok szintén kis reaktivitást mutatnak a fenollal szemben, azonban a HO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</w:t>
      </w:r>
      <w:r>
        <w:rPr>
          <w:color w:val="000000"/>
          <w:sz w:val="24"/>
          <w:szCs w:val="24"/>
        </w:rPr>
        <w:t xml:space="preserve">-ök szerepe jelentősebb. Eredményeink alapján nagyságrendileg megbecsültük a mindeddig ismeretlen fenol és HO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•</w:t>
      </w:r>
      <w:r>
        <w:rPr>
          <w:color w:val="000000"/>
          <w:sz w:val="24"/>
          <w:szCs w:val="24"/>
        </w:rPr>
        <w:t xml:space="preserve"> közötti reakció reakciósebességi együtthatóját (1,2×10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 mol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s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). A mért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koncentrációk alátámasztották a bomlásgörbékből levont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64105">
    <w:multiLevelType w:val="hybridMultilevel"/>
    <w:lvl w:ilvl="0" w:tplc="64210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64105">
    <w:abstractNumId w:val="79664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933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