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LASZLO GYEVI-NAGY</w:t>
            </w:r>
          </w:p>
          <w:p w:rsidR="00C275A3" w:rsidRDefault="00A96AEC" w:rsidP="00C275A3">
            <w:pPr>
              <w:pStyle w:val="Hallgatokepzes"/>
            </w:pPr>
            <w:r>
              <w:t>Chemistry MSc</w:t>
            </w:r>
            <w:r>
              <w:br/>
            </w:r>
            <w:r w:rsidR="00E77B23">
              <w:t>MSc, 9.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Gyula Tasi</w:t>
            </w:r>
          </w:p>
          <w:p w:rsidR="00DB4822" w:rsidRDefault="00DB4822" w:rsidP="00E11062">
            <w:pPr>
              <w:pStyle w:val="Konzulensek"/>
            </w:pPr>
            <w:r w:rsidRPr="00DB4822">
              <w:t>associate professor,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Study of the Conformational Flexibility of Silanes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this work the conformational properties of normal silanes were investigated and compared with those of normal alkanes. Wave-function-based quantum chemical methods were used to locate all the conformers, local minima, on the conformational potential energy surface (CPES) of tetrasilane, pentasilane, hexasilane as well as heptasilane. Computations revealed that the Hartree-Fock method could not reproduce both the numbers and the relative energy stabilities of the conformers. For silanes, the “all-trans” form is no longer the most stable conformer, instead, the “all-gauche” conformers with helical structure are the global minima on the CPES. It can be concluded that inclusion of electron correlation in the quantum chemical computations is crucial in the study of the conformational flexibility of silanes.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554983">
    <w:multiLevelType w:val="hybridMultilevel"/>
    <w:lvl w:ilvl="0" w:tplc="781125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554983">
    <w:abstractNumId w:val="7955498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21243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