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DOMA</w:t>
            </w:r>
          </w:p>
          <w:p w:rsidR="00C275A3" w:rsidRDefault="00A96AEC" w:rsidP="00C275A3">
            <w:pPr>
              <w:pStyle w:val="Hallgatokepzes"/>
            </w:pPr>
            <w:r>
              <w:t>Theater Studies</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Gyozo Duro</w:t>
            </w:r>
          </w:p>
          <w:p w:rsidR="00DB4822" w:rsidRDefault="00DB4822" w:rsidP="00E11062">
            <w:pPr>
              <w:pStyle w:val="Konzulensek"/>
            </w:pPr>
            <w:r w:rsidRPr="00DB4822">
              <w:t>invited professor, MKE</w:t>
            </w:r>
          </w:p>
        </w:tc>
      </w:tr>
      <w:tr w:rsidR="00DB4822" w:rsidTr="00DB4822">
        <w:tc>
          <w:tcPr>
            <w:tcW w:w="9854" w:type="dxa"/>
          </w:tcPr>
          <w:p w:rsidR="00DB4822" w:rsidRPr="00DB4822" w:rsidRDefault="00DB4822" w:rsidP="004D7940">
            <w:pPr>
              <w:pStyle w:val="Konzulensek"/>
            </w:pPr>
            <w:r w:rsidRPr="00DB4822">
              <w:t>Dr. habil. Gabriella Kiss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attraction of the Strange Sadayakko’s and Sumako’s (self)-definition as an actress in the western and Japanese theatre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examines (self)-definition of two actresses who lived at the same time but who thought of the Japanese theatre and women’s place and role in the society differently. Kawakami Sadayakko – who was originally a geisha and represented values of traditional Japan – looked at herself as an actress only after she had created the conditions of actress training. Conversely, Matsui Sumako wanted to be a professional western actress from a young age and she embodied the modern Japanesewoman and theatre.</w:t>
      </w:r>
    </w:p>
    <w:p>
      <w:pPr>
        <w:widowControl w:val="on"/>
        <w:pBdr/>
        <w:spacing w:before="240" w:after="240" w:line="240" w:lineRule="auto"/>
        <w:ind w:left="0" w:right="0"/>
        <w:jc w:val="left"/>
      </w:pPr>
      <w:r>
        <w:rPr>
          <w:color w:val="000000"/>
          <w:sz w:val="24"/>
          <w:szCs w:val="24"/>
        </w:rPr>
        <w:t xml:space="preserve">My questions aim at the relationship between the Strange and the Own, which determined the Japanese theatre culture after the Meiji-restoration and also the European theatre culture organized in the spirit of historical avant-garde. Therefore in the examination of the self-definition of the two actresses I consider the relationship between the actor’s body and the embodied role, the subject models of the given cultural conversation, and the norms determining the actor’s self-interpretation. According to my thesis, with these two self-definitions we can see the eastern theatre in that moment when the eurocentric (“western”) and the traditional (“Japanese”) trends met. As a result, the eastern theatre was capable to show the semiotisation of actress’s body, so the western theatre was faced with its own dramatic conversation’s logocentrical features.</w:t>
      </w:r>
    </w:p>
    <w:p>
      <w:pPr>
        <w:widowControl w:val="on"/>
        <w:pBdr/>
        <w:spacing w:before="240" w:after="240" w:line="240" w:lineRule="auto"/>
        <w:ind w:left="0" w:right="0"/>
        <w:jc w:val="left"/>
      </w:pPr>
      <w:r>
        <w:rPr>
          <w:color w:val="000000"/>
          <w:sz w:val="24"/>
          <w:szCs w:val="24"/>
        </w:rPr>
        <w:t xml:space="preserve">For this examination I have to analyse the plays of Kawakami troupe, which started dialogue with the West. This dialogue is based on the plays’ strongvisual effects and the changes made on kabuki tradition in accordance with European dramatic. Thus Edward G. Craig, Isadora Duncan or Loïe Fuller were impressed by this intercultural theatre, which did not want to face them with the tradition of strangeness, but created the frame of Japanese acting being “colonisable” by the West.</w:t>
      </w:r>
    </w:p>
    <w:p>
      <w:pPr>
        <w:widowControl w:val="on"/>
        <w:pBdr/>
        <w:spacing w:before="240" w:after="240" w:line="240" w:lineRule="auto"/>
        <w:ind w:left="0" w:right="0"/>
        <w:jc w:val="left"/>
      </w:pPr>
      <w:r>
        <w:rPr>
          <w:color w:val="000000"/>
          <w:sz w:val="24"/>
          <w:szCs w:val="24"/>
        </w:rPr>
        <w:t xml:space="preserve">Therefore I analyse such plays like Around the World to show the troupe’s ambivalent relationship with the West. Moreover by analysing Sadayakko’s and Matsui Sumako’s acting – who were identified with the leading parts of Geisha and the Knight, and A Doll House – it will be visible how the East and the West have become each other’s projection surface, and how each culture has projected its own theatre ideals into the other and their actresses.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19542">
    <w:multiLevelType w:val="hybridMultilevel"/>
    <w:lvl w:ilvl="0" w:tplc="34118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19542">
    <w:abstractNumId w:val="25019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300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