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 LAURA NYESTE</w:t>
            </w:r>
          </w:p>
          <w:p w:rsidR="00C275A3" w:rsidRDefault="00A96AEC" w:rsidP="00C275A3">
            <w:pPr>
              <w:pStyle w:val="Hallgatokepzes"/>
            </w:pPr>
            <w:r>
              <w:t>Economics and Management</w:t>
            </w:r>
            <w:r>
              <w:br/>
            </w:r>
            <w:r w:rsidR="00E77B23">
              <w:t>BSc,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ÁGNES KATALIN SOMOSI</w:t>
            </w:r>
          </w:p>
          <w:p w:rsidR="00DB4822" w:rsidRDefault="00C275A3" w:rsidP="004D7940">
            <w:pPr>
              <w:pStyle w:val="Hallgatokepzes"/>
            </w:pPr>
            <w:r>
              <w:t>International economics</w:t>
            </w:r>
            <w:r w:rsidR="00A96AEC">
              <w:br/>
              <w:t>BSc,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Dabasi-Halász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to go now? - Career orentation from the aspect of labour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Plenty of key factors influence a person’s life. Perhaps the most important one is the career that the juvenile - who has just stared his adult life - choose after graduation. Their two basic choices can be to start to work immediately, or to continue their studies. Studying is possible at an OKJ course, which is the way to get a profession quickly, or at a college, where the result is a diploma. But the decision is not easy because they have to face a lot of environmental effects, while also have to take many factors into consideration. In our paper we try to find the answer to the question: in the past few years, nowadays and in the future what do they build this serious decision upon. The object of our study is the Jesuit Secondary School of Miskolc, where we collect and analyze the data of career orientation from the previous five years as a secondary research. Our primary research is a questionnaire, in which we ask the school-leaver students about their plans for their following studies. We want to examine the factors that have the biggest influence on their decision, and also want to get to know whether we can talk about a closed or an open society in their case (how important the qualification of their parents is in connection with their own choices).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On the other hand we surmise that the strict headcount-conditioning - introduced to the higher education system because of the oversupply of labour market - created substantial changes in the trends. There is a serious problem: in the case of some disciplines the number of jobs that need a diploma is much lower than the number of people who want to get these positions. As a kind of solution in 2012 the state-aided headcount was reduced significantly at the affected faculties. This is why the tertiary education became connected with the high school fees for many students, which made the choice between institutions, faculties and departments much more difficult. One of us graduated at spring in 2011 before the change of the system, so she could make an emotive decision. The other one of us finished her secondary school studies the next year, when the sudden shift forced her to make a quick choice depending on money. Proceeding from the duality that we could experience, we also want to focus on the question: how much the changes of headcount influence the future generation in their career orientation.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47623">
    <w:multiLevelType w:val="hybridMultilevel"/>
    <w:lvl w:ilvl="0" w:tplc="18831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47623">
    <w:abstractNumId w:val="24747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037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