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BALASSA ÉVA</w:t>
            </w:r>
          </w:p>
          <w:p w:rsidR="00C275A3" w:rsidRDefault="00A96AEC" w:rsidP="00C275A3">
            <w:pPr>
              <w:pStyle w:val="Hallgatokepzes"/>
            </w:pPr>
            <w:r>
              <w:t>Számvitel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BUCZKÓ ANETT</w:t>
            </w:r>
          </w:p>
          <w:p w:rsidR="00DB4822" w:rsidRDefault="00C275A3" w:rsidP="004D7940">
            <w:pPr>
              <w:pStyle w:val="Hallgatokepzes"/>
            </w:pPr>
            <w:r>
              <w:t>Számvitel</w:t>
            </w:r>
            <w:r w:rsidR="00A96AEC">
              <w:br/>
              <w:t>MA, 2. félév</w:t>
            </w:r>
          </w:p>
          <w:p w:rsidR="00DB4822" w:rsidRDefault="00DB4822" w:rsidP="004D7940">
            <w:pPr>
              <w:pStyle w:val="Hallgatointezmeny-kar"/>
            </w:pPr>
            <w:r>
              <w:t>Miskolci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Kántor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Zsuzsanna</w:t>
            </w:r>
          </w:p>
          <w:p w:rsidR="00DB4822" w:rsidRDefault="00DB4822" w:rsidP="00E11062">
            <w:pPr>
              <w:pStyle w:val="Konzulensek"/>
            </w:pPr>
            <w:r w:rsidRPr="00DB4822">
              <w:t>Ph.D. hallgató,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Számlával, vagy számla nélkül?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számlázás minden gazdálkodás életében centralizált szerepet tölt be. A sikeres vállalkozás velejárója, hogy az értékesített termékekről, szolgáltatásokról számlát köteles kiállítani, ezáltal a számlázás szerves része a vállalkozási tevékenységnek, ebből következően ezt a résztevékenységet ugyanolyan hatékonysággal kell megszervezni, mint a vállalkozás többi munkafolyamatát.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számláknak tartalmi és formai szempontból különböző előírásoknak kell megfelelniük. Részletes szabályokat az általános forgalmi adóról szóló 2007. évi CXXVII. törvény, a 2000. évi C. törvény a számvitelről, valamint az e törvények felhatalmazása alapján kiadott rendeletek tartalmaznak. Ezeken felül a számlázás elengedhetetlen feltétele, hogy mind a nyomdai előállítású számláknak (számlatömböknek), mind a számítógépes számlázó programnak adóigazgatási azonosításra alkalmasnak és az adóhatóság által engedélyezettnek kell lenniük.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és így a kutatásunk célja annak a bemutatása, hogy hogyan is kell számlázni, ugyanis a számla az áfa rendszerében megkülönbözetett jelentőséggel bír: csak és kizárólag szabályos és hiteles számla alapján lehet az áfát levonásba helyezni. Nem kérdés tehát, hogy a vállalkozás számára elengedhetetlen tisztában lenni a számlázás alapvető szabályaival. Ha valaki a jogszabályokban előírt bizonylatok kiállítását elmulasztja, vagy a bizonylatokat az előírásoktól eltérően állítja ki, az adóhivatal 500 ezer forintig terjedő mulasztási bírsággal sújthatja.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Mindezeket figyelembe véve a dolgozatban többek között bemutatjuk a számla kötelező tartalmi elemeit, a kibocsátására és teljesítésére vonatkozó előírásokat. A Számviteli törvényben szintén fellelhetőek számlákkal kapcsolatos szabályozások, így ezeket is ismertetjük. Mivel a számlák a Számviteli törvény szerint számviteli bizonylatként funkcionálnak, ezért bemutatjuk a számviteli bizonylatokkal kapcsolatos törvényi rendeleteket, előírásokat is. A számlázás történhet külföldre és belföldre egyaránt, ezért mindkét esetben bemutatjuk, hogy hogyan történik a számlázás adómentes tevékenység, egyenes, valamint fordított adózás tekintetében. Egyaránt ismertetjük a különbségeket és az egyezőségeket.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Természetesen az elméleti háttér mellett a gyakorlati alkalmazás is hangsúlyos szerepet kap a dolgozatunkban, így néhány érdekes számlázási probléma bemutatásával is igyekszünk az érdeklődők figyelmét felkelteni.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559926">
    <w:multiLevelType w:val="hybridMultilevel"/>
    <w:lvl w:ilvl="0" w:tplc="132907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559926">
    <w:abstractNumId w:val="425599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45657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