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BALASSA</w:t>
            </w:r>
          </w:p>
          <w:p w:rsidR="00C275A3" w:rsidRDefault="00A96AEC" w:rsidP="00C275A3">
            <w:pPr>
              <w:pStyle w:val="Hallgatokepzes"/>
            </w:pPr>
            <w:r>
              <w:t>Accounting</w:t>
            </w:r>
            <w:r>
              <w:br/>
            </w:r>
            <w:r w:rsidR="00E77B23">
              <w:t>MA, 2.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ANETT BUCZKÓ</w:t>
            </w:r>
          </w:p>
          <w:p w:rsidR="00DB4822" w:rsidRDefault="00C275A3" w:rsidP="004D7940">
            <w:pPr>
              <w:pStyle w:val="Hallgatokepzes"/>
            </w:pPr>
            <w:r>
              <w:t>Accounting</w:t>
            </w:r>
            <w:r w:rsidR="00A96AEC">
              <w:br/>
              <w:t>MA, 2.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Kántor</w:t>
            </w:r>
          </w:p>
          <w:p w:rsidR="00DB4822" w:rsidRDefault="00DB4822" w:rsidP="00E11062">
            <w:pPr>
              <w:pStyle w:val="Konzulensek"/>
            </w:pPr>
            <w:r w:rsidRPr="00DB4822">
              <w:t>associate professor, ME GTK</w:t>
            </w:r>
          </w:p>
        </w:tc>
      </w:tr>
      <w:tr w:rsidR="00DB4822" w:rsidTr="00DB4822">
        <w:tc>
          <w:tcPr>
            <w:tcW w:w="9854" w:type="dxa"/>
          </w:tcPr>
          <w:p w:rsidR="00DB4822" w:rsidRPr="00DB4822" w:rsidRDefault="00DB4822" w:rsidP="004D7940">
            <w:pPr>
              <w:pStyle w:val="Konzulensek"/>
            </w:pPr>
            <w:r w:rsidRPr="00DB4822">
              <w:t>Zsuzsanna Tóth</w:t>
            </w:r>
          </w:p>
          <w:p w:rsidR="00DB4822" w:rsidRDefault="00DB4822" w:rsidP="00E11062">
            <w:pPr>
              <w:pStyle w:val="Konzulensek"/>
            </w:pPr>
            <w:r w:rsidRPr="00DB4822">
              <w:t>Ph.D. student,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 invoice or without invoice?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Billing plays a centralized role in each financial activity. Successful management is accompanied with the obligation for billing its products and services. Therefore, the billing is an organic part of management – so this process should be organized as efficient as any other part of the company workflow.</w:t>
      </w:r>
    </w:p>
    <w:p>
      <w:pPr>
        <w:pBdr/>
        <w:spacing w:before="240" w:after="240" w:line="240" w:lineRule="auto"/>
        <w:ind w:left="0" w:right="0"/>
        <w:jc w:val="left"/>
      </w:pPr>
      <w:r>
        <w:rPr>
          <w:color w:val="000000"/>
          <w:sz w:val="24"/>
          <w:szCs w:val="24"/>
        </w:rPr>
        <w:t xml:space="preserve">The bills should be in accordance with the formal and legal requirements. The rules in details can be found in the law Act CXXVII of 2007 on Value Added Tax, and Act C of 2000 on Accounting and the statutory rules based on this law, and and the statutory rules based on this law. Moreover it is essential that both the printed account arrays and the bills made using accounting softwares should approved and identifiable for tax office.</w:t>
      </w:r>
    </w:p>
    <w:p>
      <w:pPr>
        <w:pBdr/>
        <w:spacing w:before="240" w:after="240" w:line="240" w:lineRule="auto"/>
        <w:ind w:left="0" w:right="0"/>
        <w:jc w:val="left"/>
      </w:pPr>
      <w:r>
        <w:rPr>
          <w:color w:val="000000"/>
          <w:sz w:val="24"/>
          <w:szCs w:val="24"/>
        </w:rPr>
        <w:t xml:space="preserve">The aim of our essay is to show the billing process, as the bill is having distinguished role in the system of VAT, which can only and exclusively be decreased based on regular and trustworthy bills. So it is no question that the management must be fully aware of the basic rules of billing. Anyone who miss to issue the compulsary certificates or issue it not in accordance described in the law, can be fined up to 500 thousand HUF by tax office. If a company initiate reduction or reclaim of its VAT using improperly issued bills, the tax office will identify a fiscal deficit and will fine the company and will request to pay interest for he missing payment. Keeping all these in mind we are going to show the compulsary parts and the requirements for issuing and fulfilmenting of bills. Act on Accounting also consists parts regarding regulation of billing, these parts will also be reviewed. Due to the fact that bills are considered as an accounting letter, the legal requirements and instructions regarding accounting letters will also be described. Bills can be issued both to domestic and abroad, so we will show the process of billing to both directions in cases of tax-free activity, straight or reversed taxing. The differences and similar parts are also be reviewed.</w:t>
      </w:r>
    </w:p>
    <w:p>
      <w:pPr>
        <w:pBdr/>
        <w:spacing w:before="240" w:after="240" w:line="240" w:lineRule="auto"/>
        <w:ind w:left="0" w:right="0"/>
        <w:jc w:val="left"/>
      </w:pPr>
      <w:r>
        <w:rPr>
          <w:color w:val="000000"/>
          <w:sz w:val="24"/>
          <w:szCs w:val="24"/>
        </w:rPr>
        <w:t xml:space="preserve">Beside the theoretical background, the practical part is also very important in this essay by showing a few interesting billing examples for better understanding.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38374">
    <w:multiLevelType w:val="hybridMultilevel"/>
    <w:lvl w:ilvl="0" w:tplc="18786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38374">
    <w:abstractNumId w:val="66738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451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