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DEMÉNY</w:t>
            </w:r>
          </w:p>
          <w:p w:rsidR="00C275A3" w:rsidRDefault="00A96AEC" w:rsidP="00C275A3">
            <w:pPr>
              <w:pStyle w:val="Hallgatokepzes"/>
            </w:pPr>
            <w:r>
              <w:t>Accountancy</w:t>
            </w:r>
            <w:r>
              <w:br/>
            </w:r>
            <w:r w:rsidR="00E77B23">
              <w:t>MA, 4.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Pal, Dr.</w:t>
            </w:r>
          </w:p>
          <w:p w:rsidR="00DB4822" w:rsidRDefault="00DB4822" w:rsidP="00E11062">
            <w:pPr>
              <w:pStyle w:val="Konzulensek"/>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Through borders- - context between the most considerable accountancy and corporate frauds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Due to the changes of market economy and globalization, that have been occuring since the end of 20. century, the frontier of the national economies became more and more slight; and the competition became more considerable between the companies, from among which more worked on a multinational level already. For these processes- next to their several benefits- had negative consequences, from among which one of the most considerable is the series of accountancy and corporate frauds, that have been developing since the front of 21. century. On the one hand, these pointed at the problems of regulation and economy in their country; on the other hand these impessed other country’s economy due to the multinational companies already. The cause of my research is to analyse: the procession of these frauds, what kind of factors and interests were in the background, which reasons were the exciting agents, and what kind of consequences had the processions.</w:t>
      </w:r>
    </w:p>
    <w:p>
      <w:pPr>
        <w:pBdr/>
        <w:spacing w:before="240" w:after="240" w:line="240" w:lineRule="auto"/>
        <w:ind w:left="0" w:right="0"/>
        <w:jc w:val="left"/>
      </w:pPr>
      <w:r>
        <w:rPr>
          <w:color w:val="000000"/>
          <w:sz w:val="24"/>
          <w:szCs w:val="24"/>
        </w:rPr>
        <w:t xml:space="preserve">The scandal of Enron was a cosmological Big Bang at the procession, in which the scandal series come the to area. It brought forward those standard problems in the USA, which became the reason of some smaller corporate scandals: the flimsy regulation frame, the manager’s too large jurisdiction of control and decision, the excessive intetion to maximize the benefit of the corporate and person, and defect of the independent work of the audit. The case of Enron had effect not only in the USA, but in the other contitent too. Europe got a shock, when the Parmalat- scandal happened int Italy, because it pointed at the fact, that whitout uniform European regulation of law and accountancy, companies can find those loophole, whit which they can reach higher issue. The manipulation of reports was helped by the multinational auditors, which don’t use uniform international requirement by the local concerns. Besides this, the case of Parmalat confirmed, that the investors have considerable role in the frauds, which made the revision of the exchange’s monitoring. At the top of scandals in 2011, the Olympus- fraud started a new avalanche, which rock radical the economy of Japan.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341182">
    <w:multiLevelType w:val="hybridMultilevel"/>
    <w:lvl w:ilvl="0" w:tplc="655386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341182">
    <w:abstractNumId w:val="353411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74353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