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VERÉB</w:t>
            </w:r>
          </w:p>
          <w:p w:rsidR="00C275A3" w:rsidRDefault="00A96AEC" w:rsidP="00C275A3">
            <w:pPr>
              <w:pStyle w:val="Hallgatokepzes"/>
            </w:pPr>
            <w:r>
              <w:t>Master of Science in Accounting</w:t>
            </w:r>
            <w:r>
              <w:br/>
            </w:r>
            <w:r w:rsidR="00E77B23">
              <w:t>MA, 2. semester</w:t>
            </w:r>
          </w:p>
          <w:p w:rsidR="00C265CE" w:rsidRPr="009E5FF1" w:rsidRDefault="00E77B23" w:rsidP="00C275A3">
            <w:pPr>
              <w:pStyle w:val="Hallgatokepzes"/>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Juhász Ph.D.</w:t>
            </w:r>
          </w:p>
          <w:p w:rsidR="00DB4822" w:rsidRDefault="00DB4822" w:rsidP="00E11062">
            <w:pPr>
              <w:pStyle w:val="Konzulensek"/>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DIFFICULTIES OF THE BOOKKEEPING IN FOREIGN CURRENCY IN PRACTICE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At a company accounting in forint, because of the hectic movements of the exchanges rate, the unrealized exchange rate difference might modify the financial situation of the company drastically on the balance sheet date, if the majority of its assets and liabilities has been generated in foreign exchange. The unrealized exchange loss can lead to a significant decrease of the equity capital, and for this reason a capital settlement can be necessary. The unrealized exchange rate gain is taxable, in spite of the fact that it does not mean actual gain for the enterprise. The other frequent problem arising from the exchange rate risk is that it is difficult to plan the income deriving from operations and the profit before taxation.</w:t>
      </w:r>
    </w:p>
    <w:p>
      <w:pPr>
        <w:pBdr/>
        <w:spacing w:before="240" w:after="240" w:line="240" w:lineRule="auto"/>
        <w:ind w:left="0" w:right="0"/>
        <w:jc w:val="left"/>
      </w:pPr>
      <w:r>
        <w:rPr>
          <w:color w:val="000000"/>
          <w:sz w:val="24"/>
          <w:szCs w:val="24"/>
        </w:rPr>
        <w:t xml:space="preserve">Because of the impact of the rapidly changing economic conditions, the substantial fluctuations of exchange rate and the delay of the introduction of Euro in Hungary, from 1 January 2010, the Accounting Act allows of the bookkeeping and annual report preparing in foreign exchange for the wider range of the companies, thereby the reducing of the exchange rate risk. As a result of this, according to the experiences of audit firms, beside the MNCs, more and more companies, especially those ones, which perform export-import activity, choose bookkeeping and annual report preparing in euro or in other functional currency.</w:t>
      </w:r>
    </w:p>
    <w:p>
      <w:pPr>
        <w:pBdr/>
        <w:spacing w:before="240" w:after="240" w:line="240" w:lineRule="auto"/>
        <w:ind w:left="0" w:right="0"/>
        <w:jc w:val="left"/>
      </w:pPr>
      <w:r>
        <w:rPr>
          <w:color w:val="000000"/>
          <w:sz w:val="24"/>
          <w:szCs w:val="24"/>
        </w:rPr>
        <w:t xml:space="preserve">The main aim of my paper is to review of the procedure of the transition from forint to foreign currency and to present the difficulties of the bookkeeping in foreign exchange and the elimination of these problems. I have tried to give a kind of guidance for all of those companies which are thinking of transition from forint to foreign currency and for those ones which are accounting in foreign exchange and try to seek the answers to the questions I analyse.</w:t>
      </w:r>
    </w:p>
    <w:p>
      <w:pPr>
        <w:pBdr/>
        <w:spacing w:before="240" w:after="240" w:line="240" w:lineRule="auto"/>
        <w:ind w:left="0" w:right="0"/>
        <w:jc w:val="left"/>
      </w:pPr>
      <w:r>
        <w:rPr>
          <w:color w:val="000000"/>
          <w:sz w:val="24"/>
          <w:szCs w:val="24"/>
        </w:rPr>
        <w:t xml:space="preserve">To my research I used different sources, especially domestic literature, Internet. Furthermore, I made an interview with Péter Nagy, a co-worker of HLB Klient Plusz Co. I asked him about which difficulties the firms have to ‘battle’ during the bookkeeping in foreign exchange and how they cope with them.</w:t>
      </w:r>
    </w:p>
    <w:p>
      <w:pPr>
        <w:pBdr/>
        <w:spacing w:before="240" w:after="240" w:line="240" w:lineRule="auto"/>
        <w:ind w:left="0" w:right="0"/>
        <w:jc w:val="left"/>
      </w:pPr>
      <w:r>
        <w:rPr>
          <w:color w:val="000000"/>
          <w:sz w:val="24"/>
          <w:szCs w:val="24"/>
        </w:rPr>
        <w:t xml:space="preserve">While I was writing my paper and during the interview with Péter Nagy, I came to the conclusion that although the companies, which keep the books in foreign currency, the accountants try to observe the laws (Accounting Act and taxation regulations), however they often do not adequately understand them, and there is not unequivocal regulation for everything.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34926">
    <w:multiLevelType w:val="hybridMultilevel"/>
    <w:lvl w:ilvl="0" w:tplc="52781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34926">
    <w:abstractNumId w:val="165349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29598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