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BORBALA SALLAI</w:t>
            </w:r>
          </w:p>
          <w:p w:rsidR="00C275A3" w:rsidRDefault="00A96AEC" w:rsidP="00C275A3">
            <w:pPr>
              <w:pStyle w:val="Hallgatokepzes"/>
            </w:pPr>
            <w:r>
              <w:t>finance-accounting</w:t>
            </w:r>
            <w:r>
              <w:br/>
            </w:r>
            <w:r w:rsidR="00E77B23">
              <w:t>BSc, 5.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Eszter Nandori Dr. Siposne</w:t>
            </w:r>
          </w:p>
          <w:p w:rsidR="00DB4822" w:rsidRDefault="00DB4822" w:rsidP="00E11062">
            <w:pPr>
              <w:pStyle w:val="Konzulensek"/>
            </w:pPr>
            <w:r w:rsidRPr="00DB4822">
              <w:t>assistant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Spatial Econometric Examination of Brownfield Lands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topic of my study is the examination of the economic, welfare and social status of those living in brownfield lands in the rural regions of Hungary. On these lands social segregation is often a widespread issue. The depressedness of those living in these areas caused by the state of the local employment market really hinders the revitalisation of these brownfield lands. In these areas there is an increased amount of those people receiving welfare benefits. The pauperization of the residents living there is continous. The lack of prospects is common among them. The qualification levels of those living in these brownfield neighborhoods are low and they usually miss education opportunities as well.</w:t>
      </w:r>
    </w:p>
    <w:p>
      <w:pPr>
        <w:pBdr/>
        <w:spacing w:before="240" w:after="240" w:line="240" w:lineRule="auto"/>
        <w:ind w:left="0" w:right="0"/>
        <w:jc w:val="left"/>
      </w:pPr>
      <w:r>
        <w:rPr>
          <w:color w:val="000000"/>
          <w:sz w:val="24"/>
          <w:szCs w:val="24"/>
        </w:rPr>
        <w:t xml:space="preserve">One of the fundamental questions of my study is concerned about how typical the negative economic (low levels of average incomes and pensions, electricity and gas consumption) and social (high level of unemployment, provision of welfare benefits above the national average) factors are in brownfield lands, and how close the correlation between these factors and the ratio of borwnfield lands is.</w:t>
      </w:r>
    </w:p>
    <w:p>
      <w:pPr>
        <w:pBdr/>
        <w:spacing w:before="240" w:after="240" w:line="240" w:lineRule="auto"/>
        <w:ind w:left="0" w:right="0"/>
        <w:jc w:val="left"/>
      </w:pPr>
      <w:r>
        <w:rPr>
          <w:color w:val="000000"/>
          <w:sz w:val="24"/>
          <w:szCs w:val="24"/>
        </w:rPr>
        <w:t xml:space="preserve">Apart from these factors, the study also examines the characteristics of the spatial concentratedness of brownfield lands: how similar or different the neighbouring regions related to the ratio of brownfield areas are.</w:t>
      </w:r>
    </w:p>
    <w:p>
      <w:pPr>
        <w:pBdr/>
        <w:spacing w:before="240" w:after="240" w:line="240" w:lineRule="auto"/>
        <w:ind w:left="0" w:right="0"/>
        <w:jc w:val="left"/>
      </w:pPr>
      <w:r>
        <w:rPr>
          <w:color w:val="000000"/>
          <w:sz w:val="24"/>
          <w:szCs w:val="24"/>
        </w:rPr>
        <w:t xml:space="preserve">In my study I use the analytical methods of correlation and regression with the help of the SPSS statistical software. For the study of the location spread, I used the method of Moran I, the results of which I would like to visualise in a map-like environment as well. To assist counting, I use the Regional Statistical Yearbook (2010) and the data of the National Employment Service regarding to regional employment levels (2010).</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977521">
    <w:multiLevelType w:val="hybridMultilevel"/>
    <w:lvl w:ilvl="0" w:tplc="869610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977521">
    <w:abstractNumId w:val="119775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4483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