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ABONYI</w:t>
            </w:r>
          </w:p>
          <w:p w:rsidR="00C275A3" w:rsidRDefault="00A96AEC" w:rsidP="00C275A3">
            <w:pPr>
              <w:pStyle w:val="Hallgatokepzes"/>
            </w:pPr>
            <w:r>
              <w:t>Biologist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Andó</w:t>
            </w:r>
          </w:p>
          <w:p w:rsidR="00DB4822" w:rsidRDefault="00DB4822" w:rsidP="00E11062">
            <w:pPr>
              <w:pStyle w:val="Konzulensek"/>
            </w:pPr>
            <w:r w:rsidRPr="00DB4822">
              <w:t>group leader,  BRC Biological Research Centre,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and characterization of the sessile tissue forming factors in adult Drosophila melanogaster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Drosophila melanogaster is an excellent model organism for examination of the innate immunity. The cell-mediated and humoral arms of innate immune system contain highly conserved processes (eg, phagocytosis, encapsulation, antimicrobial peptide production, melanisation) to fight the invaders. In the course of evolution, specialized immune cells (hemocytes) developed for the implementation of cell-mediated processes. In the D. melanogaster larva, blood cells are organized in three compartments: the lymph gland, the circulation, and the sessile tissue. This developmental stage is also where most of our current knowledge on insect hemocytes comes from. The much less studied adult flies possess two hemocyte compartments: the circulation and the sessile tissue. In both stages, the sessile tissue is formed by immune cells adhering to the wall of a body cavity in a particular pattern. A handful of factors were identified, which are responsible for the formation this pattern in the larva, but we have no information on the organization of the adult sessile tissue. We established a GAL4-based test system to identify factors that determine the pattern of adult sessile tissue. The system allows the overexpressing or silencing of candidate genes, while providing the in vivo monitoring of the phenotypes by GFP fluorescence.</w:t>
      </w:r>
      <w:r>
        <w:rPr>
          <w:color w:val="000000"/>
          <w:sz w:val="24"/>
          <w:szCs w:val="24"/>
        </w:rPr>
        <w:br/>
        <w:t xml:space="preserve">During our investigation of the adult sessile compartment in vivo, we observed that the structure of the sessile tissue is not static, but undergoes morphological changes in time.</w:t>
      </w:r>
      <w:r>
        <w:rPr>
          <w:color w:val="000000"/>
          <w:sz w:val="24"/>
          <w:szCs w:val="24"/>
        </w:rPr>
        <w:br/>
        <w:t xml:space="preserve">Using the aforementioned system we identified a number of factors that play a role in the formation and correct localization of sessile tissue.</w:t>
      </w:r>
      <w:r>
        <w:rPr>
          <w:color w:val="000000"/>
          <w:sz w:val="24"/>
          <w:szCs w:val="24"/>
        </w:rPr>
        <w:br/>
        <w:t xml:space="preserve">These results help us to understand the formation mechanism of adult sessile tissue, and take us closer to explore the function of sessile tissue in both developmental stages.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58856">
    <w:multiLevelType w:val="hybridMultilevel"/>
    <w:lvl w:ilvl="0" w:tplc="37958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58856">
    <w:abstractNumId w:val="13658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511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