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ANDRÁS</w:t>
            </w:r>
          </w:p>
          <w:p w:rsidR="00C275A3" w:rsidRDefault="00A96AEC" w:rsidP="00C275A3">
            <w:pPr>
              <w:pStyle w:val="Hallgatokepzes"/>
            </w:pPr>
            <w:r>
              <w:t>Biológus MSc</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József</w:t>
            </w:r>
          </w:p>
          <w:p w:rsidR="00DB4822" w:rsidRDefault="00DB4822" w:rsidP="00E11062">
            <w:pPr>
              <w:pStyle w:val="Konzulensek"/>
            </w:pPr>
            <w:r w:rsidRPr="00DB4822">
              <w:t>tudományos tanácsadó,  MTA SZBK Genetikai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miozin ATP-áz aktivációjának vizsgálata Drosophila indirekt repülőizmában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harántcsíkolt izmok szigorúan szabályozott felépítése elengedhetetlen a megfelelő funkció betöltéséhez, mind gerincesek, mind ízeltlábúak esetén. Az izomkontrakció alapja az aktin és miozin filamentumok egymáson való elcsúszása, amely energiaigényes folyamat. A rendszer energiájául szolgáló ATP hidrolízisét a miozin molekulák végzik, melyek aktinhoz való kapcsolódása sokszorosára növeli az ATP-áz aktivitás mértékét. Célunk ennek az aktin aktivációnak a jobb megértése. Ennek érdekében az aktin aktivációt befolyásoló Drosophila aktin és miozin mutánsokat akarunk előállítani és a későbbiekben tanulmányozni azok hatását az indirekt repülőizom szerkezeti és mechanikai tulajdonságaira. A mutációk az ATP-áz aktivációért felelős régiókat érintenék: aktin esetén az N-terminális régiót, miozin esetében pedig a nemrégiben azonosított ún. aktivációs hurkot. Vizsgálataink során egy transzgenikus, korábban ilyen célra nem használt irányított integráción alapuló rendszert használunk, melyet elsőként optimalizálnunk kellett. Céljaink eléréséhez az indirekt repülőizomra specifikus aktin (Act88F) és miozin (Mhc</w:t>
      </w:r>
      <w:r>
        <w:rPr>
          <w:color w:val="000000"/>
          <w:position w:val="4"/>
          <w:sz w:val="21"/>
          <w:szCs w:val="21"/>
          <w:vertAlign w:val="superscript"/>
        </w:rPr>
        <w:t xml:space="preserve">1</w:t>
      </w:r>
      <w:r>
        <w:rPr>
          <w:color w:val="000000"/>
          <w:sz w:val="24"/>
          <w:szCs w:val="24"/>
        </w:rPr>
        <w:t xml:space="preserve">, Mhc</w:t>
      </w:r>
      <w:r>
        <w:rPr>
          <w:color w:val="000000"/>
          <w:position w:val="4"/>
          <w:sz w:val="21"/>
          <w:szCs w:val="21"/>
          <w:vertAlign w:val="superscript"/>
        </w:rPr>
        <w:t xml:space="preserve">10</w:t>
      </w:r>
      <w:r>
        <w:rPr>
          <w:color w:val="000000"/>
          <w:sz w:val="24"/>
          <w:szCs w:val="24"/>
        </w:rPr>
        <w:t xml:space="preserve">) null mutáns törzseket használjuk, melyek megfelelő genetikai háttérként szolgálnak a vad típusú és mutáns kópiák bevitelére. Röpképtelen Act88F, Mhc</w:t>
      </w:r>
      <w:r>
        <w:rPr>
          <w:color w:val="000000"/>
          <w:position w:val="4"/>
          <w:sz w:val="21"/>
          <w:szCs w:val="21"/>
          <w:vertAlign w:val="superscript"/>
        </w:rPr>
        <w:t xml:space="preserve">1</w:t>
      </w:r>
      <w:r>
        <w:rPr>
          <w:color w:val="000000"/>
          <w:sz w:val="24"/>
          <w:szCs w:val="24"/>
        </w:rPr>
        <w:t xml:space="preserve"> és Mhc</w:t>
      </w:r>
      <w:r>
        <w:rPr>
          <w:color w:val="000000"/>
          <w:position w:val="4"/>
          <w:sz w:val="21"/>
          <w:szCs w:val="21"/>
          <w:vertAlign w:val="superscript"/>
        </w:rPr>
        <w:t xml:space="preserve">10</w:t>
      </w:r>
      <w:r>
        <w:rPr>
          <w:color w:val="000000"/>
          <w:sz w:val="24"/>
          <w:szCs w:val="24"/>
        </w:rPr>
        <w:t xml:space="preserve"> homo-, és heterozigóta mutánsok menekítését végeztük extra vad típusú kópiák irányított genomi pozícióba való bevitelével. Több független vonal vizsgálata során tanulmányoztuk a mutáns és menekített legyek röpülési képességét, az expressziós mintázatot és konfokális mikroszkóppal a szarkomerek szerkezeti változásait.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37135">
    <w:multiLevelType w:val="hybridMultilevel"/>
    <w:lvl w:ilvl="0" w:tplc="28768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37135">
    <w:abstractNumId w:val="53237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747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