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SZABÓ</w:t>
            </w:r>
          </w:p>
          <w:p w:rsidR="00C275A3" w:rsidRDefault="00A96AEC" w:rsidP="00C275A3">
            <w:pPr>
              <w:pStyle w:val="Hallgatokepzes"/>
            </w:pPr>
            <w:r>
              <w:t>Biologist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Mihály</w:t>
            </w:r>
          </w:p>
          <w:p w:rsidR="00DB4822" w:rsidRDefault="00DB4822" w:rsidP="00E11062">
            <w:pPr>
              <w:pStyle w:val="Konzulensek"/>
            </w:pPr>
            <w:r w:rsidRPr="00DB4822">
              <w:t>principal investigator,  MTA SZBK Institute of Genetics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myosin's ATP-ase activation in Drosophila indirect flight muscle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strictly controlled structure of the striated muscle is crucial for the accomplishement of the proper function both in vertebrates and in insects. The basis of muscle contraction is the sliding of actin and myosin filaments on each other, which is an energy-intensive process. Hydrolysis of the ATP serving as the system's power supply is done by myosin molecules, whose binding to actin multiplies ATPase activity. Our aim is to get a better understanding of this actin activation. To this end, we decided to make actin and myosin mutant Drosophila strains which are affected in actin activation, and to study the mutation's influence on the structural and mechanical properties of the indirect flight muscle. The mutations affect the regions responsible for ATPase activity: the N-terminal tail of actin and the recently identified activation loop of myosin. To carry out our examinations we use a new transgenic system, which was previously not used for this method and is based on controlled integration. Because of the new strategy we had to optimalize this process. To achieve our goal, we use indirect flight muscle specific actin (Act88F) and myosin (Mhc1, Mhc10) null mutant strains, which are suitable genetical backgrounds to take up both the wild type and the mutant copies. We wanted to regain the flight ability of the flightless Act88F, Mhc1 and Mhc10 homo- and heterozygote strains by taking in an extra, wild type copy into their controlled genomic position. Based on the observation of several independent transgenic lines we examined the flight ability, the expression pattern and with confocal microscopy, the structrual changes of the sarcomere in mutant strains and in strains which have an extra, wild type 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21607">
    <w:multiLevelType w:val="hybridMultilevel"/>
    <w:lvl w:ilvl="0" w:tplc="72448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21607">
    <w:abstractNumId w:val="87221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382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