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ISTVÁN VARGA</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Honti</w:t>
            </w:r>
          </w:p>
          <w:p w:rsidR="00DB4822" w:rsidRDefault="00DB4822" w:rsidP="00E11062">
            <w:pPr>
              <w:pStyle w:val="Konzulensek"/>
            </w:pPr>
            <w:r w:rsidRPr="00DB4822">
              <w:t>research fellow,  Institute of Genetics, Biological Research Centre of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blood cell differentiation in the hematopoietic compartments of Drosophila melanogaster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Similarly to mammalian blood cells, the hemocytes of Drosophila melanogaster differentiate in several waves, and the differentiation of these cells is under the control of phylogenetically conserved epigenetic and transcription factors.</w:t>
      </w:r>
    </w:p>
    <w:p>
      <w:pPr>
        <w:pBdr/>
        <w:spacing w:before="240" w:after="240" w:line="240" w:lineRule="auto"/>
        <w:ind w:left="0" w:right="0"/>
        <w:jc w:val="left"/>
      </w:pPr>
      <w:r>
        <w:rPr>
          <w:color w:val="000000"/>
          <w:sz w:val="24"/>
          <w:szCs w:val="24"/>
        </w:rPr>
        <w:t xml:space="preserve">In previous cell lineage tracing studies, we observed that although the three larval hematopoietic compartments - the sessile tissue, the circulation and the lymph gland - arise from different embryonic mesodermal anlagen, they all take part in the formation of the effector cells. In addition, the phagocytic plasmatocytes show a high level of plasticity, since upon immune induction, they lose phagocytic capacity, and transform into capsule forming lamellocytes.</w:t>
      </w:r>
    </w:p>
    <w:p>
      <w:pPr>
        <w:pBdr/>
        <w:spacing w:before="240" w:after="240" w:line="240" w:lineRule="auto"/>
        <w:ind w:left="0" w:right="0"/>
        <w:jc w:val="left"/>
      </w:pPr>
      <w:r>
        <w:rPr>
          <w:color w:val="000000"/>
          <w:sz w:val="24"/>
          <w:szCs w:val="24"/>
        </w:rPr>
        <w:t xml:space="preserve">As we know very little about the molecular mechanisms of the cellular immune reactions in Drosophila, we set out to study the possible involvement of the genes which could be instrumental in the control of hemocyte development as well as in the formation and regulation of the integrity of the sessile tissue. The selected genes were overexpressed and silenced in transgenic strains and a combination of immunological and in vivo genetic markers was used to follow blood cell differentiation and the organization of the sessile tissue.</w:t>
      </w:r>
    </w:p>
    <w:p>
      <w:pPr>
        <w:pBdr/>
        <w:spacing w:before="240" w:after="240" w:line="240" w:lineRule="auto"/>
        <w:ind w:left="0" w:right="0"/>
        <w:jc w:val="left"/>
      </w:pPr>
      <w:r>
        <w:rPr>
          <w:color w:val="000000"/>
          <w:sz w:val="24"/>
          <w:szCs w:val="24"/>
        </w:rPr>
        <w:t xml:space="preserve">We identified two factors, Headcase and Eater, which play role in the development and maintenance of the structure of the sessile tissue, without affecting lamellocyte differentiation. To study the expression pattern of hdc, we generated hdc-Gal4 driver lines with gene conversion. We found that hdc is expressed in the lymph gland, but the hemocytes leaving the organ and transforming into effector cells lose hdc expression. The silencing of hdc by RNA interference resulted in strong reduction of the number of mature plasmatocytes in all hematopoietic compartments, although hdc is not expressed by either the circulating, or the sessile hemocytes. Eater is the main phagocytosis receptor of Drosophila. Silencing eater results in the mobilization of the sessile islands without the differentiation of lamellocytes. This observation indicates that Eater is necessary for maintaining the integrity of the sessile tissue, and, contrary to previous hypotheses, the disintegration of this tissue alone is not sufficient for lamellocyte differentiation.</w:t>
      </w:r>
    </w:p>
    <w:p>
      <w:pPr>
        <w:pBdr/>
        <w:spacing w:before="240" w:after="240" w:line="240" w:lineRule="auto"/>
        <w:ind w:left="0" w:right="0"/>
        <w:jc w:val="left"/>
      </w:pPr>
      <w:r>
        <w:rPr>
          <w:color w:val="000000"/>
          <w:sz w:val="24"/>
          <w:szCs w:val="24"/>
        </w:rPr>
        <w:t xml:space="preserve">Our findings suggest the existence of cell autonomous and non-autonomous regulatory networks that control in concert the development of the hematopoietic compartments and the differentiation of hemocytes.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34528">
    <w:multiLevelType w:val="hybridMultilevel"/>
    <w:lvl w:ilvl="0" w:tplc="80163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34528">
    <w:abstractNumId w:val="87434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674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