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BOLLA BEÁTA SZILVIA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Kornélia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MTA-SZTE Dermatológiai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Keratinocita aktivációs folyamatok szerepe az acne vulgaris patogenezisében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Külső környezeti hatások eredményeképpen az epidermális keratinociták aktivált állapotba kerülnek, mely állapotban számos sejtbiológiai sajátságuk eltér az alap állapothoz képest; hiperproliferatívakká válnak, és a fiziológiástól eltérő differenciációs folyamatok indulnak bennük. Ezen aktivált állapotnak fontos szerepe van számos patogén folyamat (sebgyógyulás, pikkelysömör) kialakulásában.</w:t>
      </w:r>
      <w:r>
        <w:rPr>
          <w:color w:val="000000"/>
          <w:sz w:val="24"/>
          <w:szCs w:val="24"/>
        </w:rPr>
        <w:br/>
        <w:t xml:space="preserve">Munkánk során arra a kérdésre kerestünk választ, hogy vajon a fenti folyamatoknak szerepe lehet-e az egyik leggyakoribb gyulladásos bőrbetegség, az acne patogenezise során, valamint hogy a betegség kialakulása során szerepet játszó Propionibacterium acnes (P. acnes) baktériumnak van-e valamilyen funkciója ezen aktivált állapot kialakításában, és a léziók kialakulása során megfigyelhető abnormális keratinocita funkciók indukciójában.</w:t>
      </w:r>
      <w:r>
        <w:rPr>
          <w:color w:val="000000"/>
          <w:sz w:val="24"/>
          <w:szCs w:val="24"/>
        </w:rPr>
        <w:br/>
        <w:t xml:space="preserve">Munkánk során ezért in vitro modell rendszerben, tenyésztett immortalizált keratinocitákban (HPV-KER) valós idejű RT-PCR módszerrel vizsgáljuk a baktérium- indukálta veleszületett immun, és gyulladásos folyamatok szabályozásában szerepet játszó gyulladáskeltő citokinek (TNF-alfa, IL1-alfa) mRNS szintű kifejeződésének megváltozását valós idejű RT-PCR módszerrel. Vizsgálataink során eltérő baktérium - keratinocita arányt használtunk (multiplicity of infection = MOI: 25,50,100,200,300), és a kezelést követő 6 és 24h elteltével mintákat vettünk.</w:t>
      </w:r>
      <w:r>
        <w:rPr>
          <w:color w:val="000000"/>
          <w:sz w:val="24"/>
          <w:szCs w:val="24"/>
        </w:rPr>
        <w:br/>
        <w:t xml:space="preserve">Eredményeink azt mutatják, hogy 6 órával a baktériumkezelést követően mindkét citokin mRNS kifejeződése a baktériumok számának növekedésével párhuzamosan nő. 24 óra elteltével a vizsgált citokin mRNS ek kifejeződése alacsony MOI-k esetén (25,50,100) a 0 órás kezeletlen kontroll értékekhez közelít, míg magasabb arányoknál (MOI 200,300) még ebben az időpontban is enyhén emelkedett citokin mRNS szintek detektálhatóak.</w:t>
      </w:r>
      <w:r>
        <w:rPr>
          <w:color w:val="000000"/>
          <w:sz w:val="24"/>
          <w:szCs w:val="24"/>
        </w:rPr>
        <w:br/>
        <w:t xml:space="preserve">Eredményeink arra utalnak, hogy a P.acnes által indított molekuláris folyamatok mértéke függ a HPV-KER sejtek környezetében található baktériumok mennyiségétől. További vizsgálatainkban arra a kérdésre keresünk majd választ, hogy hasonló folyamatoknak szerepe lehet-e az egyéni klinikai tünetek súlyosságában megfigyelhető különbségek kialakulásához.</w:t>
      </w:r>
      <w:r>
        <w:rPr>
          <w:color w:val="000000"/>
          <w:sz w:val="24"/>
          <w:szCs w:val="24"/>
        </w:rPr>
        <w:br/>
        <w:t xml:space="preserve">Vizsgálatainkkal közelebb kerülhetünk a leggyakoribb gyulladásos bőrbetegség, az acne patogenezisének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09622">
    <w:multiLevelType w:val="hybridMultilevel"/>
    <w:lvl w:ilvl="0" w:tplc="72734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09622">
    <w:abstractNumId w:val="35809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369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