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OLGA SPEKKER</w:t>
            </w:r>
          </w:p>
          <w:p w:rsidR="00C275A3" w:rsidRDefault="00A96AEC" w:rsidP="00C275A3">
            <w:pPr>
              <w:pStyle w:val="Hallgatokepzes"/>
            </w:pPr>
            <w:r>
              <w:t>MSc in Biology Teacher</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Molnár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György Pálfi Ph.D.</w:t>
            </w:r>
          </w:p>
          <w:p w:rsidR="00DB4822" w:rsidRDefault="00DB4822" w:rsidP="00E11062">
            <w:pPr>
              <w:pStyle w:val="Konzulensek"/>
            </w:pPr>
            <w:r w:rsidRPr="00DB4822">
              <w:t>associate professor, head of the department,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Traces of skeletal tuberculosis from the Neolithic tell settlement of Vésztő-Mágor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Timeliness of the paleopathological research of tuberculous infections (caused by members of the Mycobacterium tuberculosis complex) is laid great stress on since tuberculosis (TB) is one of the most fatal infectious diseases nowadays. The paleopathological examination of various ancient populations may indirectly contribute to the effectiveness of the fight against TB. Molecular investigations of mycobacterial DNA, extracted from skeletal remains, may provide useful information to the understanding of evolution of the aetiological agent and changes in its virulence. Previous macromorphological examinations are essential for the molecular analyses.</w:t>
      </w:r>
      <w:r>
        <w:rPr>
          <w:color w:val="000000"/>
          <w:sz w:val="24"/>
          <w:szCs w:val="24"/>
        </w:rPr>
        <w:br/>
        <w:t xml:space="preserve">The aim of this study is to present new data on the paleoepidemiology of TB in Hungary. Skeletal remains from the Tisza culture (ca. 4900-4500 BC) settlement of Vésztő-Mágor (one of the largest Neolithic tells of the Great Hungarian Plain) served as a source of material. The selection of the series was motivated by the fact that during the Neolithic Revolution the change in lifestyle may have provided promoting conditions for the spread and maintenance of infectious diseases, such as TB. However, limited data on skeletal TB from the Neolithic period are available.</w:t>
      </w:r>
      <w:r>
        <w:rPr>
          <w:color w:val="000000"/>
          <w:sz w:val="24"/>
          <w:szCs w:val="24"/>
        </w:rPr>
        <w:br/>
        <w:t xml:space="preserve">Before the paleopathological examination of skeletal remains of 30 individuals, age at death and sex of individuals were determined. The paleopathological investigation was carried out using macromorphological methods focusing on classical and atypical TB lesions. Molecular analyses based on macromorphological examination were performed by Annamária Pósa - PhD student of the Department of Biological Anthropology, University of Szeged, Hungary - in Bolzano, Italy (Ancient DNA Laboratory of the Institute for Mummies and the Iceman, EURAC Research).</w:t>
      </w:r>
      <w:r>
        <w:rPr>
          <w:color w:val="000000"/>
          <w:sz w:val="24"/>
          <w:szCs w:val="24"/>
        </w:rPr>
        <w:br/>
        <w:t xml:space="preserve">The paleopathological investigation of the examined series revealed four probable TB cases. In one case, the lesions suggest the diagnosis of multifocal skeletal TB. In the other three cases, all of the detected alterations (rib lesions, superficial vertebral changes/hypervascularisation, endocranial alterations, diffuse symmetrical long bone periostitis) can be considered as atypical or early-stage TB lesions, which are not always specific for TB. However, the simultaneous occurrence of several of these conditions - as it was observed in all of our cases - can increase the probability of the diagnosis of early-stage skeletal TB.</w:t>
      </w:r>
      <w:r>
        <w:rPr>
          <w:color w:val="000000"/>
          <w:sz w:val="24"/>
          <w:szCs w:val="24"/>
        </w:rPr>
        <w:br/>
        <w:t xml:space="preserve">In one case, the molecular investigation indicated the presence of mycobacterial DNA.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02125">
    <w:multiLevelType w:val="hybridMultilevel"/>
    <w:lvl w:ilvl="0" w:tplc="91077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02125">
    <w:abstractNumId w:val="92802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527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