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CSABA PAPP</w:t>
            </w:r>
          </w:p>
          <w:p w:rsidR="00C275A3" w:rsidRDefault="00A96AEC" w:rsidP="00C275A3">
            <w:pPr>
              <w:pStyle w:val="Hallgatokepzes"/>
            </w:pPr>
            <w:r>
              <w:t>Biology MSc</w:t>
            </w:r>
            <w:r>
              <w:br/>
            </w:r>
            <w:r w:rsidR="00E77B23">
              <w:t>MSc, 9.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Attila Gácser</w:t>
            </w:r>
          </w:p>
          <w:p w:rsidR="00DB4822" w:rsidRDefault="00DB4822" w:rsidP="00E11062">
            <w:pPr>
              <w:pStyle w:val="Konzulensek"/>
            </w:pPr>
            <w:r w:rsidRPr="00DB4822">
              <w:t> senior research fellow,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Physiological caracterization of Candida parapsilosis CDR1-2 drog efflux-pump doublemutant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incidence of invasive fungal infections has significantly increased over the past 30 years, with the Candida genus representing the most common cause of disease. Candida parapsilosis is now the second or third most common cause of bloodstream infections in intensive care units. Triazoles are commonly used to combat diverse forms of candidiasis. The prolonged and frequent use of azoles drugs has led to the development of multidrug resistance (MDR) mechanisms in Candida. Several mechanisms have been characterized that contribute to MDR in these yeasts. One of these mechanisms is the overexpression of efflux pump proteins that function as ATP-binding cassette (ABC) and major facilitator superfamily (MFS) transporters. Major C. albicans ABC-transporters involved in azole resistance are candida drug resistance protein 1 and 2 (Cdr1p, Cdr2p).</w:t>
      </w:r>
    </w:p>
    <w:p>
      <w:pPr>
        <w:pBdr/>
        <w:spacing w:before="240" w:after="240" w:line="240" w:lineRule="auto"/>
        <w:ind w:left="0" w:right="0"/>
        <w:jc w:val="left"/>
      </w:pPr>
      <w:r>
        <w:rPr>
          <w:color w:val="000000"/>
          <w:sz w:val="24"/>
          <w:szCs w:val="24"/>
        </w:rPr>
        <w:t xml:space="preserve">In contrast of the well studied C. albicans ABC-transporters, little is known about the role of CDR genes in Candida parapsilosis. To clarify the significance of CpCDR, we have generated C. parapsilosis CDR1-CDR2 (CpCDR1-CDR2) double deletion mutant and determined the minimal inhibitory concentration (MIC) for amphotericin B, fluconazole and caspofungin. Our results showed decreased MIC for fluconazole and caspofungin, respectively. The knock out mutants showed similar sensitivity against osmotic and oxidative stress to that of the wild type. Interestingly, the killing of CDR1-2 deletion mutant yeasts by murine monocyte-like cells (J774.2) was significantly decreased relative to WT. Furthermore, we showed that CDR1-2 deletion yeast cells were more resistant against the host killing mechanisms during infection of A/J mice, suggesting an involvement of these transporters in the pathobiology of the fungus.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999968">
    <w:multiLevelType w:val="hybridMultilevel"/>
    <w:lvl w:ilvl="0" w:tplc="855338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999968">
    <w:abstractNumId w:val="389999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44423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