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MARTA DELI</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Lantos Ph.D.</w:t>
            </w:r>
          </w:p>
          <w:p w:rsidR="00DB4822" w:rsidRDefault="00DB4822" w:rsidP="00E11062">
            <w:pPr>
              <w:pStyle w:val="Konzulensek"/>
            </w:pPr>
            <w:r w:rsidRPr="00DB4822">
              <w:t>research fellow,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Induction of in vitro androgenesis in pepper ( Capsicum annuum 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Doubled haploid plants can be produced by the method of isolated microspore (immature pollen) culture based on in vitro androgenesis. Plant breeders prefer using this procedure to reduce the selective breeding process time 6-8 generations to one generation. In the case of pepper the haploid technique can be used successfully.</w:t>
      </w:r>
    </w:p>
    <w:p>
      <w:pPr>
        <w:widowControl w:val="on"/>
        <w:pBdr/>
        <w:spacing w:before="240" w:after="240" w:line="240" w:lineRule="auto"/>
        <w:ind w:left="0" w:right="0"/>
        <w:jc w:val="left"/>
      </w:pPr>
      <w:r>
        <w:rPr>
          <w:color w:val="000000"/>
          <w:sz w:val="24"/>
          <w:szCs w:val="24"/>
        </w:rPr>
        <w:t xml:space="preserve">The success of the in vitro androgenesis is influenced by many factors, such as genotype, raising donor plants, microspore developmental stages, stress management, composition of induction and regeneration media. In our experiments the composition of induction and regeneration media were studied. We cultured the isolated microspores in ½ B5 and B5 liquid medium with 200 mg / l cefotaxime antibiotic or 100 mg / l timentin and 20 mg / l rifampicin antibiotic mixture. There was significant difference in the number of embryoids among the different treatments, most of the embryoids developed in the ½ B5 induction medium with cefotaxime antibiotic. Embryoids derived from the ½ B5 induction medium supplemented with cefotaxime developed the most of the roots on the regeneration medium. During the regeneration we tested the effect of the concentration of gelrite to the regeneration, significant differences was not obtained among the various treatments based on the number of shoot and root formation.</w:t>
      </w:r>
    </w:p>
    <w:p>
      <w:pPr>
        <w:widowControl w:val="on"/>
        <w:pBdr/>
        <w:spacing w:before="240" w:after="240" w:line="240" w:lineRule="auto"/>
        <w:ind w:left="0" w:right="0"/>
        <w:jc w:val="left"/>
      </w:pPr>
      <w:r>
        <w:rPr>
          <w:color w:val="000000"/>
          <w:sz w:val="24"/>
          <w:szCs w:val="24"/>
        </w:rPr>
        <w:t xml:space="preserve">The ploid level of the successfully regenerated plants was monitored by flow cytometric analysis and the fertile spontaneous diploid plants will be used in hybrid breeding programs on Szeged Department of Paprika Nonprofit Research and Development Ltd.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07685">
    <w:multiLevelType w:val="hybridMultilevel"/>
    <w:lvl w:ilvl="0" w:tplc="90775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07685">
    <w:abstractNumId w:val="48807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341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