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KIRÁLY</w:t>
            </w:r>
          </w:p>
          <w:p w:rsidR="00C275A3" w:rsidRDefault="00A96AEC" w:rsidP="00C275A3">
            <w:pPr>
              <w:pStyle w:val="Hallgatokepzes"/>
            </w:pPr>
            <w:r>
              <w:t>Geographer</w:t>
            </w:r>
            <w:r>
              <w:br/>
            </w:r>
            <w:r w:rsidR="00E77B23">
              <w:t>MSc,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Tímea Kiss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Disconnectivity study on the catchment of the Tetves Brook,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Spatial patterns of the sediment stored and forwarded within the catchment area provide its linkage conditions, which determine e.g. the propagation direction and speed of contaminations. These conditions may change in time and space, and dynamism is maintained by disturbing impacts affecting the geographical unit, and these impacts in form of aggressive waves deliver material and energy. The propagation of the aggressive waves may partly or totally be restricted by decoupling forms (sediment traps).</w:t>
      </w:r>
    </w:p>
    <w:p>
      <w:pPr>
        <w:pBdr/>
        <w:spacing w:before="240" w:after="240" w:line="240" w:lineRule="auto"/>
        <w:ind w:left="0" w:right="0"/>
        <w:jc w:val="left"/>
      </w:pPr>
      <w:r>
        <w:rPr>
          <w:color w:val="000000"/>
          <w:sz w:val="24"/>
          <w:szCs w:val="24"/>
        </w:rPr>
        <w:t xml:space="preserve">I investigated two groups of the decoupling elements in the catchment area of Tetves Brook that serves as my sample area. One of them is the group of puffers which inhibit the produced substance to get into the watercourse. These sediment traps are partly anthropogenic such as sluices, villages, roads and embankments. Partly they are of natural origin such as pseudo terraces and thicken vegetation bands. Most of these geomorphologic forms cannot be mobilised at all, therefore they generate permanent un-linkage. The other one is the group of obstacles, which hinder sediment in the watercourse be forwarded. Obstacles of anthropogenic origin regulating the sediment balance of Lake Balaton (fish ponds and sediment catcher reservoir), also in case of high water, reduce water and sediment output in the Tetves Brook. Sediment and alluvium plugs, aggregated due to low stream conditions together with the sudden decreased gradient, can be mobilised even by moderate aggressive waves.</w:t>
      </w:r>
    </w:p>
    <w:p>
      <w:pPr>
        <w:pBdr/>
        <w:spacing w:before="240" w:after="240" w:line="240" w:lineRule="auto"/>
        <w:ind w:left="0" w:right="0"/>
        <w:jc w:val="left"/>
      </w:pPr>
      <w:r>
        <w:rPr>
          <w:color w:val="000000"/>
          <w:sz w:val="24"/>
          <w:szCs w:val="24"/>
        </w:rPr>
        <w:t xml:space="preserve">On the basis of the decoupling elements and their spatial separation I determined at low water condition the effective catchment area of the Tetves Brook (23.9 km</w:t>
      </w:r>
      <w:r>
        <w:rPr>
          <w:color w:val="000000"/>
          <w:position w:val="4"/>
          <w:sz w:val="21"/>
          <w:szCs w:val="21"/>
          <w:vertAlign w:val="superscript"/>
        </w:rPr>
        <w:t xml:space="preserve">2</w:t>
      </w:r>
      <w:r>
        <w:rPr>
          <w:color w:val="000000"/>
          <w:sz w:val="24"/>
          <w:szCs w:val="24"/>
        </w:rPr>
        <w:t xml:space="preserve">), which is part of the total catchment area (100.2 km</w:t>
      </w:r>
      <w:r>
        <w:rPr>
          <w:color w:val="000000"/>
          <w:position w:val="4"/>
          <w:sz w:val="21"/>
          <w:szCs w:val="21"/>
          <w:vertAlign w:val="superscript"/>
        </w:rPr>
        <w:t xml:space="preserve">2</w:t>
      </w:r>
      <w:r>
        <w:rPr>
          <w:color w:val="000000"/>
          <w:sz w:val="24"/>
          <w:szCs w:val="24"/>
        </w:rPr>
        <w:t xml:space="preserve">) and which forwards sediment through the whole system even in case of low water. Mobilisation of the sediment traps results in spatial and temporal changes of the effective catchment area, so in case of low water, middle water or flood the effective catchment area and its characteristics may change completely.</w:t>
      </w:r>
    </w:p>
    <w:p>
      <w:pPr>
        <w:pBdr/>
        <w:spacing w:before="240" w:after="240" w:line="240" w:lineRule="auto"/>
        <w:ind w:left="0" w:right="0"/>
        <w:jc w:val="left"/>
      </w:pPr>
      <w:r>
        <w:rPr>
          <w:color w:val="000000"/>
          <w:sz w:val="24"/>
          <w:szCs w:val="24"/>
        </w:rPr>
        <w:t xml:space="preserve">Keywords: linkage; aggressive waves; sediment spring; sediment traps; Tetves Brook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21377">
    <w:multiLevelType w:val="hybridMultilevel"/>
    <w:lvl w:ilvl="0" w:tplc="21969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21377">
    <w:abstractNumId w:val="67921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732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