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PRÁVETZ</w:t>
            </w:r>
          </w:p>
          <w:p w:rsidR="00C275A3" w:rsidRDefault="00A96AEC" w:rsidP="00C275A3">
            <w:pPr>
              <w:pStyle w:val="Hallgatokepzes"/>
            </w:pPr>
            <w:r>
              <w:t>Geography MSc</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Sipos</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analysis of sediment budget using hydromorphological surveys on the Hungarian and Romanian reaches of River Maros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direct and indirect human impacts on river morphology. The dynamics of fluvial systems are determined by some key factors, such as the amount and discharge of bed load and sediment household. However, studies which are related to these factors are not very common in Hungary so there is just a fewsurveys that address this topic.</w:t>
      </w:r>
    </w:p>
    <w:p>
      <w:pPr>
        <w:pBdr/>
        <w:spacing w:before="240" w:after="240" w:line="240" w:lineRule="auto"/>
        <w:ind w:left="0" w:right="0"/>
        <w:jc w:val="left"/>
      </w:pPr>
      <w:r>
        <w:rPr>
          <w:color w:val="000000"/>
          <w:sz w:val="24"/>
          <w:szCs w:val="24"/>
        </w:rPr>
        <w:t xml:space="preserve">The aim of this study was to determine changes in the sediment budget on the Hungarian and Romanian reaches, affected by significant sediment mining, of River Maros using hydromorphological surveys. Further goals were to quantify the development of sand bars, and to compare the selected study areas in terms of the channel dynamics.</w:t>
      </w:r>
    </w:p>
    <w:p>
      <w:pPr>
        <w:pBdr/>
        <w:spacing w:before="240" w:after="240" w:line="240" w:lineRule="auto"/>
        <w:ind w:left="0" w:right="0"/>
        <w:jc w:val="left"/>
      </w:pPr>
      <w:r>
        <w:rPr>
          <w:color w:val="000000"/>
          <w:sz w:val="24"/>
          <w:szCs w:val="24"/>
        </w:rPr>
        <w:t xml:space="preserve">The surveys were made at four different reaches, 2 river km each, at different hydrological conditions. In total four surveys were made at four different dates at each study site. Two of the surveys were made at high water stage, the other two at low water stage. All of the study areas have similar morphology, and represent a riffle-pool-riffle morphology. The surveys were taken near the following locations: Lippa, Arad, Pécska and Apátfalva. At the Apátfalva site additional surveys were also made at low water.</w:t>
      </w:r>
    </w:p>
    <w:p>
      <w:pPr>
        <w:pBdr/>
        <w:spacing w:before="240" w:after="240" w:line="240" w:lineRule="auto"/>
        <w:ind w:left="0" w:right="0"/>
        <w:jc w:val="left"/>
      </w:pPr>
      <w:r>
        <w:rPr>
          <w:color w:val="000000"/>
          <w:sz w:val="24"/>
          <w:szCs w:val="24"/>
        </w:rPr>
        <w:t xml:space="preserve">Data collection was made along cross and longitudinal sections, the same tracks were used at each survey at the given sites. Areas covered by water were measured by hydroacoustic system (ADCP - Acoustic Current Doppler Profiler), while areas above the water level were mapped by total station. An RTK GNSS system ensured the precision of the absolute positioning. In every case the same sections were measured during the data collection.</w:t>
      </w:r>
    </w:p>
    <w:p>
      <w:pPr>
        <w:pBdr/>
        <w:spacing w:before="240" w:after="240" w:line="240" w:lineRule="auto"/>
        <w:ind w:left="0" w:right="0"/>
        <w:jc w:val="left"/>
      </w:pPr>
      <w:r>
        <w:rPr>
          <w:color w:val="000000"/>
          <w:sz w:val="24"/>
          <w:szCs w:val="24"/>
        </w:rPr>
        <w:t xml:space="preserve">Both of the applied devices (ADCP and total station) produced point type data with a horizontal coordinate pair. The ADCP matched these coordinates with a depth data while the total station matched these with a height data. All data were integrated into a uniform GIS, using UTM as a coordinate system. After data processing digital elevation models (DEM) were created. Sediment budget and morphological dynamics were determined on the basis of these DEMs.</w:t>
      </w:r>
    </w:p>
    <w:p>
      <w:pPr>
        <w:pBdr/>
        <w:spacing w:before="240" w:after="240" w:line="240" w:lineRule="auto"/>
        <w:ind w:left="0" w:right="0"/>
        <w:jc w:val="left"/>
      </w:pPr>
      <w:r>
        <w:rPr>
          <w:color w:val="000000"/>
          <w:sz w:val="24"/>
          <w:szCs w:val="24"/>
        </w:rPr>
        <w:t xml:space="preserve">We found significant difference in the sediment budget of the investigated areas, which was primarily determined by their position in relation with sediment extraction activity on the river. Our study and developed procedures ensure the further monitoring of the river bed and changes in sediment dynamics.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61884">
    <w:multiLevelType w:val="hybridMultilevel"/>
    <w:lvl w:ilvl="0" w:tplc="57334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61884">
    <w:abstractNumId w:val="278618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8792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