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TÓTH</w:t>
            </w:r>
          </w:p>
          <w:p w:rsidR="00C275A3" w:rsidRDefault="00A96AEC" w:rsidP="00C275A3">
            <w:pPr>
              <w:pStyle w:val="Hallgatokepzes"/>
            </w:pPr>
            <w:r>
              <w:t>Geography MSc</w:t>
            </w:r>
            <w:r>
              <w:br/>
            </w:r>
            <w:r w:rsidR="00E77B23">
              <w:t>MSc, 3.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Sipos</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Testing of TL and OSL Methods on Archeologically Accurately Dated Brick Samples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Thermoluminescence is a widely used method in dating ceramic and brick samples. However, only few examples can be found in the literature for testing the differences arising from different sampling, sample preparation and measurement strategies on known age samples.</w:t>
      </w:r>
    </w:p>
    <w:p>
      <w:pPr>
        <w:pBdr/>
        <w:spacing w:before="240" w:after="240" w:line="240" w:lineRule="auto"/>
        <w:ind w:left="0" w:right="0"/>
        <w:jc w:val="left"/>
      </w:pPr>
      <w:r>
        <w:rPr>
          <w:color w:val="000000"/>
          <w:sz w:val="24"/>
          <w:szCs w:val="24"/>
        </w:rPr>
        <w:t xml:space="preserve">The aim of the present research is to refine laboratory methods of luminescence dating by the comparison of different sampling and measurement techniques. The experiments were carried out on 5 Roman age bricks with an archeologically well established age, originating from the archaeological excavations at Acquincum. The archaeological dating was based on stamps and marks on these bricks. These specific signs were unique and can be related to different brick-firing workshops, thus the exact time and place of manufacturing can be quite accurately determined.</w:t>
      </w:r>
    </w:p>
    <w:p>
      <w:pPr>
        <w:pBdr/>
        <w:spacing w:before="240" w:after="240" w:line="240" w:lineRule="auto"/>
        <w:ind w:left="0" w:right="0"/>
        <w:jc w:val="left"/>
      </w:pPr>
      <w:r>
        <w:rPr>
          <w:color w:val="000000"/>
          <w:sz w:val="24"/>
          <w:szCs w:val="24"/>
        </w:rPr>
        <w:t xml:space="preserve">During the experiment the samples were divided into 6 subsamples accordingly. In the aim of testing mechanical effects the subsamples were collected and prepared in several different ways: the first subsample was collected by rasping (A1) then part of this sample was subjected to further powdering an agate mortar (A2) and another part was etched with H</w:t>
      </w:r>
      <w:r>
        <w:rPr>
          <w:color w:val="000000"/>
          <w:position w:val="-4"/>
          <w:sz w:val="21"/>
          <w:szCs w:val="21"/>
          <w:vertAlign w:val="subscript"/>
        </w:rPr>
        <w:t xml:space="preserve">2</w:t>
      </w:r>
      <w:r>
        <w:rPr>
          <w:color w:val="000000"/>
          <w:sz w:val="24"/>
          <w:szCs w:val="24"/>
        </w:rPr>
        <w:t xml:space="preserve">SiF</w:t>
      </w:r>
      <w:r>
        <w:rPr>
          <w:color w:val="000000"/>
          <w:position w:val="-4"/>
          <w:sz w:val="21"/>
          <w:szCs w:val="21"/>
          <w:vertAlign w:val="subscript"/>
        </w:rPr>
        <w:t xml:space="preserve">6</w:t>
      </w:r>
      <w:r>
        <w:rPr>
          <w:color w:val="000000"/>
          <w:sz w:val="24"/>
          <w:szCs w:val="24"/>
        </w:rPr>
        <w:t xml:space="preserve"> in order to study the behaviour of the quartz fraction (A3). Besides, further subsamples were collected with a low-rev drill (B1) and high-rev drill (C), and sample B1 was also subjected for further powdering in an agate mortar (B2). During the TL measurements the equivalent dose of samples was determined by applying the MAAD and REG protocols. A3 subsampleswere also measured by OSL (Optically Stimulated Luminescence) during which the SAR protocol was tested and used.</w:t>
      </w:r>
    </w:p>
    <w:p>
      <w:pPr>
        <w:pBdr/>
        <w:spacing w:before="240" w:after="240" w:line="240" w:lineRule="auto"/>
        <w:ind w:left="0" w:right="0"/>
        <w:jc w:val="left"/>
      </w:pPr>
      <w:r>
        <w:rPr>
          <w:color w:val="000000"/>
          <w:sz w:val="24"/>
          <w:szCs w:val="24"/>
        </w:rPr>
        <w:t xml:space="preserve">By using Inductively ICP-MS the element content of the samples was also analysed in order to determine the concentration of U, Th and K, determining the dose rate in the samples. The moisture content and environment of the bricks was assessed on the basis of archeological data.</w:t>
      </w:r>
    </w:p>
    <w:p>
      <w:pPr>
        <w:pBdr/>
        <w:spacing w:before="240" w:after="240" w:line="240" w:lineRule="auto"/>
        <w:ind w:left="0" w:right="0"/>
        <w:jc w:val="left"/>
      </w:pPr>
      <w:r>
        <w:rPr>
          <w:color w:val="000000"/>
          <w:sz w:val="24"/>
          <w:szCs w:val="24"/>
        </w:rPr>
        <w:t xml:space="preserve">On the basis of the analysis the following main conclusions can be made: the delay between radioactive irradiation and TL measurements must be at least 3 weeks, additional mechanical effects during sampling can significantly affect the measured equivalent dose values and OSL can yield very different ages than TL. All these emphasize that sampling has to be made at the lowest possible mechanical effect and TL must be favoured in fine grain pottery and brick dating. Final results were in good correspondence with the archaeologically determined ages.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342528">
    <w:multiLevelType w:val="hybridMultilevel"/>
    <w:lvl w:ilvl="0" w:tplc="221029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342528">
    <w:abstractNumId w:val="153425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8759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