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PÁVEL</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István Tömörkény Secondary  and  Vocational School</w:t>
            </w:r>
            <w:r w:rsidR="00C275A3">
              <w:br/>
            </w:r>
            <w:r w:rsidR="00DB4822">
              <w:t/>
            </w:r>
          </w:p>
        </w:tc>
        <w:tc>
          <w:tcPr>
            <w:tcW w:w="4914" w:type="dxa"/>
          </w:tcPr>
          <w:p w:rsidR="00DB4822" w:rsidRPr="00DB4822" w:rsidRDefault="00DB4822" w:rsidP="004D7940">
            <w:pPr>
              <w:pStyle w:val="Hallgatonev"/>
              <w:rPr>
                <w:caps/>
              </w:rPr>
            </w:pPr>
            <w:r w:rsidRPr="00DB4822">
              <w:rPr>
                <w:caps/>
              </w:rPr>
              <w:t>ROLAND SZŰCS</w:t>
            </w:r>
          </w:p>
          <w:p w:rsidR="00DB4822" w:rsidRDefault="00C275A3" w:rsidP="004D7940">
            <w:pPr>
              <w:pStyle w:val="Hallgatokepzes"/>
            </w:pPr>
            <w:r>
              <w:t/>
            </w:r>
            <w:r w:rsidR="00A96AEC">
              <w:br/>
              <w:t>High school student</w:t>
            </w:r>
          </w:p>
          <w:p w:rsidR="00DB4822" w:rsidRDefault="00DB4822" w:rsidP="004D7940">
            <w:pPr>
              <w:pStyle w:val="Hallgatointezmeny-kar"/>
            </w:pPr>
            <w:r>
              <w:t>István Tömörkény Secondary  and  Vocational School</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Májer</w:t>
            </w:r>
          </w:p>
          <w:p w:rsidR="00DB4822" w:rsidRDefault="00DB4822" w:rsidP="00E11062">
            <w:pPr>
              <w:pStyle w:val="Konzulensek"/>
            </w:pPr>
            <w:r w:rsidRPr="00DB4822">
              <w:t>assistant master,  Tömörkény István Grammar School and Technical College</w:t>
            </w:r>
          </w:p>
        </w:tc>
      </w:tr>
      <w:tr w:rsidR="00DB4822" w:rsidTr="00DB4822">
        <w:tc>
          <w:tcPr>
            <w:tcW w:w="9854" w:type="dxa"/>
          </w:tcPr>
          <w:p w:rsidR="00DB4822" w:rsidRPr="00DB4822" w:rsidRDefault="00DB4822" w:rsidP="004D7940">
            <w:pPr>
              <w:pStyle w:val="Konzulensek"/>
            </w:pPr>
            <w:r w:rsidRPr="00DB4822">
              <w:t>Gyula Nagy</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and development possibilities of the urban green of Szeged - Makkosháza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much focus is put on environmental pollution and its effects on humans. More and more people live in cities, where the exposure for certain pollutants is higher. Urban green can decrease the negative effects of these contaminants, which will affect human life quality as well. The urban green is not only responsible for the production of oxygen, but absorbs airborne dust, noise and vibration pollutions, creating healthier life circumstances and well-being.</w:t>
      </w:r>
      <w:r>
        <w:rPr>
          <w:color w:val="000000"/>
          <w:sz w:val="24"/>
          <w:szCs w:val="24"/>
        </w:rPr>
        <w:br/>
        <w:t xml:space="preserve">The paper has three main questions. What are the connections between urban greenfield and the city, what main types can be delimited? What effects can be described on humans’ caused by urban greens, what are the merits, and demerits of these territories? What are the developing principles we can use for urban greens and our sample area, Szeged – Makkosháza?</w:t>
      </w:r>
      <w:r>
        <w:rPr>
          <w:color w:val="000000"/>
          <w:sz w:val="24"/>
          <w:szCs w:val="24"/>
        </w:rPr>
        <w:br/>
        <w:t xml:space="preserve">To analyse the needs of the citizens about urban greens a survey was made of 100 questionnaires. We used the results to create two versions of developing concept of the sample area. To define urban greens in Szeged we used Quantum GIS.</w:t>
      </w:r>
      <w:r>
        <w:rPr>
          <w:color w:val="000000"/>
          <w:sz w:val="24"/>
          <w:szCs w:val="24"/>
        </w:rPr>
        <w:br/>
        <w:t xml:space="preserve">The ideal green spaces are well functioning and matching in the urban context. People can use for recreation, sport activities or dog walking, and it is freely accessible for all the citizens.</w:t>
      </w:r>
      <w:r>
        <w:rPr>
          <w:color w:val="000000"/>
          <w:sz w:val="24"/>
          <w:szCs w:val="24"/>
        </w:rPr>
        <w:br/>
        <w:t xml:space="preserve">Despite our sample area does not fulfil these criteria; it is unused, neglected and empty. Due using the results of the survey we created the mentioned concepts. It is also important to point out that public participation is indispensable for developing urban spaces. Our goal was to create a healthy, liveable surrounding not only for the neighbourhood, but for the whole 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74566">
    <w:multiLevelType w:val="hybridMultilevel"/>
    <w:lvl w:ilvl="0" w:tplc="36796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74566">
    <w:abstractNumId w:val="66074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387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