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VARJAS</w:t>
            </w:r>
          </w:p>
          <w:p w:rsidR="00C275A3" w:rsidRDefault="00A96AEC" w:rsidP="00C275A3">
            <w:pPr>
              <w:pStyle w:val="Hallgatokepzes"/>
            </w:pPr>
            <w:r>
              <w:t>Software Engineer</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Tanács, PhD</w:t>
            </w:r>
          </w:p>
          <w:p w:rsidR="00DB4822" w:rsidRDefault="00DB4822" w:rsidP="00E11062">
            <w:pPr>
              <w:pStyle w:val="Konzulensek"/>
            </w:pPr>
            <w:r w:rsidRPr="00DB4822">
              <w:t>senior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Vehicle type recognition from frontal image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many applications where we would like to determine the visual content of an image. The problem of recognizing cars from frontal images falls into the same category to which we propose a possible solution. The recognition algorithm is quite general so it can be used to several other recognition tasks.</w:t>
      </w:r>
      <w:r>
        <w:rPr>
          <w:color w:val="000000"/>
          <w:sz w:val="24"/>
          <w:szCs w:val="24"/>
        </w:rPr>
        <w:br/>
        <w:t xml:space="preserve">The solution is based on the extraction of normalized gradient based features. There are several articles in the literature which are based on the same idea but usually they can only recognize cars from pictures made with strict protocols or they discuss the automatization process in a not reproducible way. We measured the performance of the methods on our practical database. In this database there are 10 classes. The pictures were taken from a wide range of distances and under different lightning conditions. There are also partially obscured images.</w:t>
      </w:r>
      <w:r>
        <w:rPr>
          <w:color w:val="000000"/>
          <w:sz w:val="24"/>
          <w:szCs w:val="24"/>
        </w:rPr>
        <w:br/>
        <w:t xml:space="preserve">The methods discussed in the literature strongly rely on the a priori knowledge of the number plate corner points. In this way we can measure purely the performance of the recognition algorithm. The method discussed in the articles recognized only the 45% of the cars, but with changes in the recognition process this ratio can be raised near 100%.</w:t>
      </w:r>
      <w:r>
        <w:rPr>
          <w:color w:val="000000"/>
          <w:sz w:val="24"/>
          <w:szCs w:val="24"/>
        </w:rPr>
        <w:br/>
        <w:t xml:space="preserve">We also analyze the robustness of the algorithm by perturbing the corner points with random numbers following normal distribution. The results show that the method is robust, so it can be used in practice. Based on the perturbation results we implemented a semi-automatic and automatic version with 93,5% and 88,4%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87160">
    <w:multiLevelType w:val="hybridMultilevel"/>
    <w:lvl w:ilvl="0" w:tplc="90428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87160">
    <w:abstractNumId w:val="74387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265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