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SZÖGI TITANILLA ZITA</w:t>
            </w:r>
          </w:p>
          <w:p w:rsidR="00C275A3" w:rsidRDefault="00A96AEC" w:rsidP="00C275A3">
            <w:pPr>
              <w:pStyle w:val="Hallgatokepzes"/>
            </w:pPr>
            <w:r>
              <w:t>Biológus MSc</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Szegedi Viktor</w:t>
            </w:r>
          </w:p>
          <w:p w:rsidR="00DB4822" w:rsidRDefault="00DB4822" w:rsidP="00E11062">
            <w:pPr>
              <w:pStyle w:val="Konzulensek"/>
            </w:pPr>
            <w:r w:rsidRPr="00DB4822">
              <w:t>Tudományos munkatárs,  Szegedi Biológiai Kutatóközpont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új környezetben mutatott szorongás vizsgálata egereken: a buspiron hatása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szorongásos kórképek kialakulásának oka a félelemre adott válaszok szabályozásáért felelős rendszerek diszfunkciója. A túlzott félelmi válaszok patológiás szorongáshoz vezethetnek, melynek oka lehet az alkalmazkodást elősegítő idegi folyamatok károsodása, hibás működése. Laborunkban kétirányú beltenyésztéssel létrehozott magas (AX) és alacsony (nAX) szorongási reakciót mutató egerek új környezetben mutatott viselkedési válaszait vizsgáltuk emelt keresztpalló tesztben (EPM) nyolc egymást követő napon. Az AX egerek nyitott kar felfedezési szintje nem változott a teszt során, de az nAX egerek kezdeti magasabb nyílt karokban töltött ideje a nyolc napon át tartó teszt során folyamatosan csökkent, melyet okozhatott a szorongás növekedése, vagy a nyitott karokba való belépési motiváció csökkenése félelem kialakulása nélkül. Egy újabb kísérletsorozatban az EPM apparátus környezetét a harmadik napon megváltoztattuk, mely hatására az nAX állatok nyitott karokba történő belépéseinek szintje visszatért, míg az AX egerek megnövekedett szorongási szinttel reagáltak. A klinikumban használt szorongásoldó (buspiron) krónikus, hosszú távú (2,5 mg/ttkg és 5 mg/ttkg, intraperitoneális, négy hétig tartó injektálás) hatását vizsgáltuk az AX és nAX egereken. Az AX egerek az új környezetben a buspiron 2,5 mg/ttkg dózisú krónikus kezelés esetében aktív megbirkózási stratégiát alkalmaztak, ezzel ellentétben az nAX egerek passzívan reagáltak a kontextus váltásra. Eredményeink megmutatják, hogy a két állattörzs eltérő megküzdési stratégiát (aktív vagy passzív) alkalmaz az új környezetben, melyet szorongásoldóval történő kezeléssel megváltoztathatunk.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68799">
    <w:multiLevelType w:val="hybridMultilevel"/>
    <w:lvl w:ilvl="0" w:tplc="41955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68799">
    <w:abstractNumId w:val="974687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11077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