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TITANILLA ZITA SZÖGI</w:t>
            </w:r>
          </w:p>
          <w:p w:rsidR="00C275A3" w:rsidRDefault="00A96AEC" w:rsidP="00C275A3">
            <w:pPr>
              <w:pStyle w:val="Hallgatokepzes"/>
            </w:pPr>
            <w:r>
              <w:t>Biologist MSc</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Szegedi Ph.D.</w:t>
            </w:r>
          </w:p>
          <w:p w:rsidR="00DB4822" w:rsidRDefault="00DB4822" w:rsidP="00E11062">
            <w:pPr>
              <w:pStyle w:val="Konzulensek"/>
            </w:pPr>
            <w:r w:rsidRPr="00DB4822">
              <w:t>Research fellow,  Biological Research Centre,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anxiolytic buspirone in novel context of mice with different anxious phenotype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Human patients suffering from anxiety disorders produce anxiety related behavior, when encounter a novel environment, a change that sensation seekers (less anxious) may prefer. Rodents, placed in new environmental context may respond either with increased novelty seeking (active), or enhanced anxiety (passive coping style), which may depend on the trait anxiety of the animal. Here, we aimed to investigate the connection between the initial level of anxiety and the behavioral responses in a novel environment. We exposed two inbred mouse strains having either high- or low-anxiety related behavior (AX and nAX), to elevated plus maze (EPM), a standard test for assessing anxiety level in rodents, for 8 consecutive days. The initial anxiety level was modulated by chronic treatment with buspirone (Bus) treatment, a clinically effective anxiolytic, using 2.5 mg/kg and 5 mg/kg doses. Both strains showed a gradual decrease of open-arm exploration, which was not prevented by Bus treatment. Another cohort of animals was exposed to EPM for 2 days, and then we changed to blue light illumination and used a different cleaning substance with citrus odor (context change, CC). We found that upon context change AX mice exhibited increased anxiety, however, nAX mice showed elevated open-arm exploration. Bus used in 2.5 mg/kg changed the coping strategy from passive to active exploration after CC in the AX mice; however, the same treatment rendered nAX mice passive upon CC. Bus in 5 mg/kg failed to alter the overall coping style in the novel environment of both strains. These results suggest that the mouse lines having extremes in anxiety-like behavior use different coping strategy in novel context. The pattern of behavioral response to CC can be changed with Bus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40327">
    <w:multiLevelType w:val="hybridMultilevel"/>
    <w:lvl w:ilvl="0" w:tplc="36753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40327">
    <w:abstractNumId w:val="28540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323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