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SZALÓKI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Balázs</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supervisory system of municipalities. Or are the years of progress or decline coming?</w:t>
      </w:r>
    </w:p>
    <w:p w:rsidR="00D71DF5" w:rsidRDefault="00D71DF5" w:rsidP="00AD2602">
      <w:pPr>
        <w:jc w:val="both"/>
      </w:pPr>
    </w:p>
    <w:p>
      <w:pPr>
        <w:pBdr/>
        <w:spacing w:before="240" w:after="240" w:line="240" w:lineRule="auto"/>
        <w:ind w:left="0" w:right="0"/>
        <w:jc w:val="left"/>
      </w:pPr>
      <w:r>
        <w:rPr>
          <w:color w:val="000000"/>
          <w:sz w:val="24"/>
          <w:szCs w:val="24"/>
        </w:rPr>
        <w:t xml:space="preserve">I chose the topic of Legal Supervision from the area of Administrative Law. The actuality of the topic is proved by the fact that the picture created about the position of state organization concerning local governments has changed, in other words we can not look at them as a quasi independent arm of supremacy, but from the 2011. annual CLXXXIX. Act, we can look at them as an integrated part in the executive area of supremacy. Thereby the autonomy of municipalities decreased and the Country Government Offices’ position has grown stronger, and this changing importance can be argued with the development of Legal Suprevision’s.</w:t>
      </w:r>
    </w:p>
    <w:p>
      <w:pPr>
        <w:pBdr/>
        <w:spacing w:before="240" w:after="240" w:line="240" w:lineRule="auto"/>
        <w:ind w:left="0" w:right="0"/>
        <w:jc w:val="left"/>
      </w:pPr>
      <w:r>
        <w:rPr>
          <w:color w:val="000000"/>
          <w:sz w:val="24"/>
          <w:szCs w:val="24"/>
        </w:rPr>
        <w:t xml:space="preserve">Thereby, I set my goals in my researched topic that I would examine the topic in three aspects including the structure, errors and defectivenesses of law-institute after the acceptable theoretical and international basis. First I compared it with the „previous” Legal Inspection’s law-institute, furthermore I examined the Legal Supervision’s background of measure, thereby I touched upon the law interspaces, as well as the misintelligible and needful required adjustment directions, too. Terminally I totalized practical problems at the „HBM Government Office Legal Inspection and Supervision Department”.</w:t>
      </w:r>
    </w:p>
    <w:p>
      <w:pPr>
        <w:pBdr/>
        <w:spacing w:before="240" w:after="240" w:line="240" w:lineRule="auto"/>
        <w:ind w:left="0" w:right="0"/>
        <w:jc w:val="left"/>
      </w:pPr>
      <w:r>
        <w:rPr>
          <w:color w:val="000000"/>
          <w:sz w:val="24"/>
          <w:szCs w:val="24"/>
        </w:rPr>
        <w:t xml:space="preserve">Summarized I discounted the next cardinal conclusions in my essay. The measure-basis of the Legal Supervision’s law-institute even needs infinite adjusments and additions, regarding the practical problems. The legislator acceptably determined the administrative’s direction of development regarding the Legal supervision’s law-institute, but because of the supervision’s process surrounding patchy juridical practice, it cannot work in absolute effectivity. This problem will be solved by the system of administrative segregated-tribunals, which will be set up in next year. The Offices are provided with acceptable preventive, reparative and repressive instruments, but they must use these much braver and well-aimed in the illicit situations, which were made by local municipalities, because they have to configure a preventive practice. The Supervision’s and quasi Supervision’s instruments have got a decreasing effect fornent the municipalities’ autonomy, but how will the future practice be developing? Necessarily – in my point – this way of development will be enough thereto regain the expert, stable, quick and effective administrative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39668">
    <w:multiLevelType w:val="hybridMultilevel"/>
    <w:lvl w:ilvl="0" w:tplc="48748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39668">
    <w:abstractNumId w:val="51039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09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